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版本号：ZMZB2025SNY-26820250828001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电磁法超前探测仪采购项目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ZMZB2025SNY-268</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电磁法超前探测仪采购项目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ZMZB2025SNY-268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电磁法超前探测仪采购项目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电磁法超前探测仪采购项目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咸阳市渭城区文林路中段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黄乐 魏萌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说明：成交供应商在签订合同前须向甲方缴纳合同款项的5%作为合同履约保障金，验收合格，履约结束后一次性不计息退还。缴纳履约保证金时须备注项目名称及款项用途。</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的80%收取（含税），按照中标金额差额定率累进法计算，由中标/成交单位一次性支付给乙方。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联系人：黄乐</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电磁法超前探测仪采购项目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电磁法超前探测仪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标的名称：电磁法超前探测仪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1、通用技术参数</w:t>
            </w:r>
          </w:p>
          <w:p>
            <w:pPr>
              <w:pStyle w:val="null3"/>
              <w:jc w:val="both"/>
            </w:pPr>
            <w:r>
              <w:rPr>
                <w:rFonts w:ascii="仿宋_GB2312" w:hAnsi="仿宋_GB2312" w:cs="仿宋_GB2312" w:eastAsia="仿宋_GB2312"/>
                <w:sz w:val="24"/>
              </w:rPr>
              <w:t>1.1电磁波类探水方法，通过测量介质在不同频率电磁场作用下的响应信号，分析水的分布特征;</w:t>
            </w:r>
          </w:p>
          <w:p>
            <w:pPr>
              <w:pStyle w:val="null3"/>
              <w:jc w:val="both"/>
            </w:pPr>
            <w:r>
              <w:rPr>
                <w:rFonts w:ascii="仿宋_GB2312" w:hAnsi="仿宋_GB2312" w:cs="仿宋_GB2312" w:eastAsia="仿宋_GB2312"/>
                <w:sz w:val="24"/>
              </w:rPr>
              <w:t>1.2适用于煤矿井下掘进巷道，可配合掘进机和掘锚一体机施工;</w:t>
            </w:r>
          </w:p>
          <w:p>
            <w:pPr>
              <w:pStyle w:val="null3"/>
              <w:jc w:val="both"/>
            </w:pPr>
            <w:r>
              <w:rPr>
                <w:rFonts w:ascii="仿宋_GB2312" w:hAnsi="仿宋_GB2312" w:cs="仿宋_GB2312" w:eastAsia="仿宋_GB2312"/>
                <w:sz w:val="24"/>
              </w:rPr>
              <w:t>1.3探测距离</w:t>
            </w:r>
            <w:r>
              <w:rPr>
                <w:rFonts w:ascii="仿宋_GB2312" w:hAnsi="仿宋_GB2312" w:cs="仿宋_GB2312" w:eastAsia="仿宋_GB2312"/>
                <w:sz w:val="24"/>
              </w:rPr>
              <w:t>≥</w:t>
            </w:r>
            <w:r>
              <w:rPr>
                <w:rFonts w:ascii="仿宋_GB2312" w:hAnsi="仿宋_GB2312" w:cs="仿宋_GB2312" w:eastAsia="仿宋_GB2312"/>
                <w:sz w:val="24"/>
              </w:rPr>
              <w:t>100m。</w:t>
            </w:r>
          </w:p>
          <w:p>
            <w:pPr>
              <w:pStyle w:val="null3"/>
              <w:jc w:val="both"/>
            </w:pPr>
            <w:r>
              <w:rPr>
                <w:rFonts w:ascii="仿宋_GB2312" w:hAnsi="仿宋_GB2312" w:cs="仿宋_GB2312" w:eastAsia="仿宋_GB2312"/>
                <w:sz w:val="24"/>
                <w:b/>
              </w:rPr>
              <w:t>2、主机技术参数</w:t>
            </w:r>
          </w:p>
          <w:p>
            <w:pPr>
              <w:pStyle w:val="null3"/>
              <w:jc w:val="both"/>
            </w:pPr>
            <w:r>
              <w:rPr>
                <w:rFonts w:ascii="仿宋_GB2312" w:hAnsi="仿宋_GB2312" w:cs="仿宋_GB2312" w:eastAsia="仿宋_GB2312"/>
                <w:sz w:val="24"/>
              </w:rPr>
              <w:t>2.1供电：127V煤矿标准供电；</w:t>
            </w:r>
          </w:p>
          <w:p>
            <w:pPr>
              <w:pStyle w:val="null3"/>
              <w:jc w:val="both"/>
            </w:pPr>
            <w:r>
              <w:rPr>
                <w:rFonts w:ascii="仿宋_GB2312" w:hAnsi="仿宋_GB2312" w:cs="仿宋_GB2312" w:eastAsia="仿宋_GB2312"/>
                <w:sz w:val="24"/>
              </w:rPr>
              <w:t>2.2温度：优于10-55℃；</w:t>
            </w:r>
          </w:p>
          <w:p>
            <w:pPr>
              <w:pStyle w:val="null3"/>
              <w:jc w:val="left"/>
            </w:pPr>
            <w:r>
              <w:rPr>
                <w:rFonts w:ascii="仿宋_GB2312" w:hAnsi="仿宋_GB2312" w:cs="仿宋_GB2312" w:eastAsia="仿宋_GB2312"/>
                <w:sz w:val="24"/>
              </w:rPr>
              <w:t>2.3主机外形参考尺寸：不大于450X350X300mm（长宽高）；</w:t>
            </w:r>
          </w:p>
          <w:p>
            <w:pPr>
              <w:pStyle w:val="null3"/>
              <w:jc w:val="both"/>
            </w:pPr>
            <w:r>
              <w:rPr>
                <w:rFonts w:ascii="仿宋_GB2312" w:hAnsi="仿宋_GB2312" w:cs="仿宋_GB2312" w:eastAsia="仿宋_GB2312"/>
                <w:sz w:val="24"/>
              </w:rPr>
              <w:t>2.4重量：单件小于50公斤;</w:t>
            </w:r>
          </w:p>
          <w:p>
            <w:pPr>
              <w:pStyle w:val="null3"/>
              <w:jc w:val="both"/>
            </w:pPr>
            <w:r>
              <w:rPr>
                <w:rFonts w:ascii="仿宋_GB2312" w:hAnsi="仿宋_GB2312" w:cs="仿宋_GB2312" w:eastAsia="仿宋_GB2312"/>
                <w:sz w:val="24"/>
              </w:rPr>
              <w:t>2.5煤矿要求：有MA证书和防爆证书;</w:t>
            </w:r>
          </w:p>
          <w:p>
            <w:pPr>
              <w:pStyle w:val="null3"/>
              <w:jc w:val="both"/>
            </w:pPr>
            <w:r>
              <w:rPr>
                <w:rFonts w:ascii="仿宋_GB2312" w:hAnsi="仿宋_GB2312" w:cs="仿宋_GB2312" w:eastAsia="仿宋_GB2312"/>
                <w:sz w:val="24"/>
              </w:rPr>
              <w:t>2.6测量：发射电极电流、接收电极电压、直流电导率、电容率。</w:t>
            </w:r>
          </w:p>
          <w:p>
            <w:pPr>
              <w:pStyle w:val="null3"/>
              <w:jc w:val="both"/>
            </w:pPr>
            <w:r>
              <w:rPr>
                <w:rFonts w:ascii="仿宋_GB2312" w:hAnsi="仿宋_GB2312" w:cs="仿宋_GB2312" w:eastAsia="仿宋_GB2312"/>
                <w:sz w:val="24"/>
                <w:b/>
              </w:rPr>
              <w:t>3、上位机技术参数</w:t>
            </w:r>
          </w:p>
          <w:p>
            <w:pPr>
              <w:pStyle w:val="null3"/>
              <w:jc w:val="both"/>
            </w:pPr>
            <w:r>
              <w:rPr>
                <w:rFonts w:ascii="仿宋_GB2312" w:hAnsi="仿宋_GB2312" w:cs="仿宋_GB2312" w:eastAsia="仿宋_GB2312"/>
                <w:sz w:val="24"/>
              </w:rPr>
              <w:t>3.1煤矿要求：有MA证书和防爆证书;</w:t>
            </w:r>
          </w:p>
          <w:p>
            <w:pPr>
              <w:pStyle w:val="null3"/>
              <w:jc w:val="both"/>
            </w:pPr>
            <w:r>
              <w:rPr>
                <w:rFonts w:ascii="仿宋_GB2312" w:hAnsi="仿宋_GB2312" w:cs="仿宋_GB2312" w:eastAsia="仿宋_GB2312"/>
                <w:sz w:val="24"/>
              </w:rPr>
              <w:t>3.2 接口种类齐全：包含但不限于USB，蓝牙，RJ45, Wifi;</w:t>
            </w:r>
          </w:p>
          <w:p>
            <w:pPr>
              <w:pStyle w:val="null3"/>
              <w:jc w:val="both"/>
            </w:pPr>
            <w:r>
              <w:rPr>
                <w:rFonts w:ascii="仿宋_GB2312" w:hAnsi="仿宋_GB2312" w:cs="仿宋_GB2312" w:eastAsia="仿宋_GB2312"/>
                <w:sz w:val="24"/>
              </w:rPr>
              <w:t>3.3Windows10正版中文操作系统。</w:t>
            </w:r>
          </w:p>
          <w:p>
            <w:pPr>
              <w:pStyle w:val="null3"/>
              <w:jc w:val="both"/>
            </w:pPr>
            <w:r>
              <w:rPr>
                <w:rFonts w:ascii="仿宋_GB2312" w:hAnsi="仿宋_GB2312" w:cs="仿宋_GB2312" w:eastAsia="仿宋_GB2312"/>
                <w:sz w:val="24"/>
                <w:b/>
              </w:rPr>
              <w:t>4、井下天线技术参数</w:t>
            </w:r>
          </w:p>
          <w:p>
            <w:pPr>
              <w:pStyle w:val="null3"/>
              <w:jc w:val="both"/>
            </w:pPr>
            <w:r>
              <w:rPr>
                <w:rFonts w:ascii="仿宋_GB2312" w:hAnsi="仿宋_GB2312" w:cs="仿宋_GB2312" w:eastAsia="仿宋_GB2312"/>
                <w:sz w:val="24"/>
              </w:rPr>
              <w:t>4.1煤安形式：浇封天线；</w:t>
            </w:r>
          </w:p>
          <w:p>
            <w:pPr>
              <w:pStyle w:val="null3"/>
              <w:jc w:val="both"/>
            </w:pPr>
            <w:r>
              <w:rPr>
                <w:rFonts w:ascii="仿宋_GB2312" w:hAnsi="仿宋_GB2312" w:cs="仿宋_GB2312" w:eastAsia="仿宋_GB2312"/>
                <w:sz w:val="24"/>
              </w:rPr>
              <w:t>4.2观测方案：无需移除探测设备与掌子面之间的金属物体，不影响掘锚机工作，巷道两侧邦布置发射和接收天线。</w:t>
            </w:r>
          </w:p>
          <w:p>
            <w:pPr>
              <w:pStyle w:val="null3"/>
              <w:jc w:val="both"/>
            </w:pPr>
            <w:r>
              <w:rPr>
                <w:rFonts w:ascii="仿宋_GB2312" w:hAnsi="仿宋_GB2312" w:cs="仿宋_GB2312" w:eastAsia="仿宋_GB2312"/>
                <w:sz w:val="24"/>
                <w:b/>
              </w:rPr>
              <w:t>5、地面天线技术参数</w:t>
            </w:r>
          </w:p>
          <w:p>
            <w:pPr>
              <w:pStyle w:val="null3"/>
              <w:jc w:val="both"/>
            </w:pPr>
            <w:r>
              <w:rPr>
                <w:rFonts w:ascii="仿宋_GB2312" w:hAnsi="仿宋_GB2312" w:cs="仿宋_GB2312" w:eastAsia="仿宋_GB2312"/>
                <w:sz w:val="24"/>
              </w:rPr>
              <w:t>5.1长度：</w:t>
            </w:r>
            <w:r>
              <w:rPr>
                <w:rFonts w:ascii="仿宋_GB2312" w:hAnsi="仿宋_GB2312" w:cs="仿宋_GB2312" w:eastAsia="仿宋_GB2312"/>
                <w:sz w:val="24"/>
              </w:rPr>
              <w:t>≥</w:t>
            </w:r>
            <w:r>
              <w:rPr>
                <w:rFonts w:ascii="仿宋_GB2312" w:hAnsi="仿宋_GB2312" w:cs="仿宋_GB2312" w:eastAsia="仿宋_GB2312"/>
                <w:sz w:val="24"/>
              </w:rPr>
              <w:t>1.5m</w:t>
            </w:r>
          </w:p>
          <w:p>
            <w:pPr>
              <w:pStyle w:val="null3"/>
              <w:jc w:val="both"/>
            </w:pPr>
            <w:r>
              <w:rPr>
                <w:rFonts w:ascii="仿宋_GB2312" w:hAnsi="仿宋_GB2312" w:cs="仿宋_GB2312" w:eastAsia="仿宋_GB2312"/>
                <w:sz w:val="24"/>
              </w:rPr>
              <w:t>5.2观测方案：地面阵列式双侧观测。</w:t>
            </w:r>
          </w:p>
          <w:p>
            <w:pPr>
              <w:pStyle w:val="null3"/>
              <w:jc w:val="both"/>
            </w:pPr>
            <w:r>
              <w:rPr>
                <w:rFonts w:ascii="仿宋_GB2312" w:hAnsi="仿宋_GB2312" w:cs="仿宋_GB2312" w:eastAsia="仿宋_GB2312"/>
                <w:sz w:val="24"/>
                <w:b/>
              </w:rPr>
              <w:t>6、软件技术参数</w:t>
            </w:r>
          </w:p>
          <w:p>
            <w:pPr>
              <w:pStyle w:val="null3"/>
              <w:jc w:val="both"/>
            </w:pPr>
            <w:r>
              <w:rPr>
                <w:rFonts w:ascii="仿宋_GB2312" w:hAnsi="仿宋_GB2312" w:cs="仿宋_GB2312" w:eastAsia="仿宋_GB2312"/>
                <w:sz w:val="24"/>
              </w:rPr>
              <w:t>6.1计算成像：有自动计算功能;</w:t>
            </w:r>
          </w:p>
          <w:p>
            <w:pPr>
              <w:pStyle w:val="null3"/>
              <w:jc w:val="both"/>
            </w:pPr>
            <w:r>
              <w:rPr>
                <w:rFonts w:ascii="仿宋_GB2312" w:hAnsi="仿宋_GB2312" w:cs="仿宋_GB2312" w:eastAsia="仿宋_GB2312"/>
                <w:sz w:val="24"/>
              </w:rPr>
              <w:t>6.2成像：含水量地质界面偏移成像，介电常数；</w:t>
            </w:r>
          </w:p>
          <w:p>
            <w:pPr>
              <w:pStyle w:val="null3"/>
              <w:jc w:val="both"/>
            </w:pPr>
            <w:r>
              <w:rPr>
                <w:rFonts w:ascii="仿宋_GB2312" w:hAnsi="仿宋_GB2312" w:cs="仿宋_GB2312" w:eastAsia="仿宋_GB2312"/>
                <w:sz w:val="24"/>
              </w:rPr>
              <w:t>6.3方向滤波：可滤除侧方回波，仅用工作面前方回波用于超前预报。</w:t>
            </w:r>
          </w:p>
          <w:p>
            <w:pPr>
              <w:pStyle w:val="null3"/>
              <w:jc w:val="both"/>
            </w:pPr>
            <w:r>
              <w:rPr>
                <w:rFonts w:ascii="仿宋_GB2312" w:hAnsi="仿宋_GB2312" w:cs="仿宋_GB2312" w:eastAsia="仿宋_GB2312"/>
                <w:sz w:val="24"/>
                <w:b/>
              </w:rPr>
              <w:t>7、数据处理工作站技术参数</w:t>
            </w:r>
          </w:p>
          <w:p>
            <w:pPr>
              <w:pStyle w:val="null3"/>
              <w:jc w:val="both"/>
            </w:pPr>
            <w:r>
              <w:rPr>
                <w:rFonts w:ascii="仿宋_GB2312" w:hAnsi="仿宋_GB2312" w:cs="仿宋_GB2312" w:eastAsia="仿宋_GB2312"/>
                <w:sz w:val="24"/>
              </w:rPr>
              <w:t>7.1</w:t>
            </w:r>
            <w:r>
              <w:rPr>
                <w:rFonts w:ascii="仿宋_GB2312" w:hAnsi="仿宋_GB2312" w:cs="仿宋_GB2312" w:eastAsia="仿宋_GB2312"/>
                <w:sz w:val="24"/>
              </w:rPr>
              <w:t>数量：</w:t>
            </w:r>
            <w:r>
              <w:rPr>
                <w:rFonts w:ascii="仿宋_GB2312" w:hAnsi="仿宋_GB2312" w:cs="仿宋_GB2312" w:eastAsia="仿宋_GB2312"/>
                <w:sz w:val="24"/>
              </w:rPr>
              <w:t>18套；</w:t>
            </w:r>
          </w:p>
          <w:p>
            <w:pPr>
              <w:pStyle w:val="null3"/>
              <w:jc w:val="both"/>
            </w:pPr>
            <w:r>
              <w:rPr>
                <w:rFonts w:ascii="仿宋_GB2312" w:hAnsi="仿宋_GB2312" w:cs="仿宋_GB2312" w:eastAsia="仿宋_GB2312"/>
                <w:sz w:val="24"/>
              </w:rPr>
              <w:t>7.2处理器：不低于i5-12450HX；配置RJ45和无线网卡；内存</w:t>
            </w:r>
            <w:r>
              <w:rPr>
                <w:rFonts w:ascii="仿宋_GB2312" w:hAnsi="仿宋_GB2312" w:cs="仿宋_GB2312" w:eastAsia="仿宋_GB2312"/>
                <w:sz w:val="24"/>
              </w:rPr>
              <w:t>≥</w:t>
            </w:r>
            <w:r>
              <w:rPr>
                <w:rFonts w:ascii="仿宋_GB2312" w:hAnsi="仿宋_GB2312" w:cs="仿宋_GB2312" w:eastAsia="仿宋_GB2312"/>
                <w:sz w:val="24"/>
              </w:rPr>
              <w:t>16GB,硬盘</w:t>
            </w:r>
            <w:r>
              <w:rPr>
                <w:rFonts w:ascii="仿宋_GB2312" w:hAnsi="仿宋_GB2312" w:cs="仿宋_GB2312" w:eastAsia="仿宋_GB2312"/>
                <w:sz w:val="24"/>
              </w:rPr>
              <w:t>≥</w:t>
            </w:r>
            <w:r>
              <w:rPr>
                <w:rFonts w:ascii="仿宋_GB2312" w:hAnsi="仿宋_GB2312" w:cs="仿宋_GB2312" w:eastAsia="仿宋_GB2312"/>
                <w:sz w:val="24"/>
              </w:rPr>
              <w:t>512GB（SSD）；</w:t>
            </w:r>
          </w:p>
          <w:p>
            <w:pPr>
              <w:pStyle w:val="null3"/>
              <w:jc w:val="both"/>
            </w:pPr>
            <w:r>
              <w:rPr>
                <w:rFonts w:ascii="仿宋_GB2312" w:hAnsi="仿宋_GB2312" w:cs="仿宋_GB2312" w:eastAsia="仿宋_GB2312"/>
                <w:sz w:val="24"/>
              </w:rPr>
              <w:t>7.3机箱尺寸：不大于238*100*285mm；</w:t>
            </w:r>
          </w:p>
          <w:p>
            <w:pPr>
              <w:pStyle w:val="null3"/>
              <w:jc w:val="both"/>
            </w:pPr>
            <w:r>
              <w:rPr>
                <w:rFonts w:ascii="仿宋_GB2312" w:hAnsi="仿宋_GB2312" w:cs="仿宋_GB2312" w:eastAsia="仿宋_GB2312"/>
                <w:sz w:val="24"/>
              </w:rPr>
              <w:t>7.4显示器：23.8英寸；</w:t>
            </w:r>
          </w:p>
          <w:p>
            <w:pPr>
              <w:pStyle w:val="null3"/>
              <w:outlineLvl w:val="2"/>
            </w:pPr>
            <w:r>
              <w:rPr>
                <w:rFonts w:ascii="仿宋_GB2312" w:hAnsi="仿宋_GB2312" w:cs="仿宋_GB2312" w:eastAsia="仿宋_GB2312"/>
                <w:sz w:val="24"/>
                <w:b/>
              </w:rPr>
              <w:t>7.5 桌椅：教学用电脑双人桌带双椅；数量：9套；</w:t>
            </w:r>
            <w:r>
              <w:rPr>
                <w:rFonts w:ascii="仿宋_GB2312" w:hAnsi="仿宋_GB2312" w:cs="仿宋_GB2312" w:eastAsia="仿宋_GB2312"/>
                <w:sz w:val="24"/>
                <w:b/>
              </w:rPr>
              <w:t>材质</w:t>
            </w:r>
            <w:r>
              <w:rPr>
                <w:rFonts w:ascii="仿宋_GB2312" w:hAnsi="仿宋_GB2312" w:cs="仿宋_GB2312" w:eastAsia="仿宋_GB2312"/>
                <w:sz w:val="24"/>
                <w:b/>
              </w:rPr>
              <w:t>：</w:t>
            </w:r>
            <w:r>
              <w:rPr>
                <w:rFonts w:ascii="仿宋_GB2312" w:hAnsi="仿宋_GB2312" w:cs="仿宋_GB2312" w:eastAsia="仿宋_GB2312"/>
                <w:sz w:val="24"/>
                <w:b/>
              </w:rPr>
              <w:t>三聚氰胺板或者实木颗粒板</w:t>
            </w:r>
            <w:r>
              <w:rPr>
                <w:rFonts w:ascii="仿宋_GB2312" w:hAnsi="仿宋_GB2312" w:cs="仿宋_GB2312" w:eastAsia="仿宋_GB2312"/>
                <w:sz w:val="24"/>
                <w:b/>
              </w:rPr>
              <w:t>（</w:t>
            </w:r>
            <w:r>
              <w:rPr>
                <w:rFonts w:ascii="仿宋_GB2312" w:hAnsi="仿宋_GB2312" w:cs="仿宋_GB2312" w:eastAsia="仿宋_GB2312"/>
                <w:sz w:val="24"/>
                <w:b/>
              </w:rPr>
              <w:t>浅木色</w:t>
            </w:r>
            <w:r>
              <w:rPr>
                <w:rFonts w:ascii="仿宋_GB2312" w:hAnsi="仿宋_GB2312" w:cs="仿宋_GB2312" w:eastAsia="仿宋_GB2312"/>
                <w:sz w:val="24"/>
                <w:b/>
              </w:rPr>
              <w:t>）；</w:t>
            </w:r>
            <w:r>
              <w:rPr>
                <w:rFonts w:ascii="仿宋_GB2312" w:hAnsi="仿宋_GB2312" w:cs="仿宋_GB2312" w:eastAsia="仿宋_GB2312"/>
                <w:sz w:val="24"/>
                <w:b/>
              </w:rPr>
              <w:t>框架：冷轧钢喷塑（白色）</w:t>
            </w:r>
            <w:r>
              <w:rPr>
                <w:rFonts w:ascii="仿宋_GB2312" w:hAnsi="仿宋_GB2312" w:cs="仿宋_GB2312" w:eastAsia="仿宋_GB2312"/>
                <w:sz w:val="24"/>
                <w:b/>
              </w:rPr>
              <w:t>;</w:t>
            </w:r>
            <w:r>
              <w:rPr>
                <w:rFonts w:ascii="仿宋_GB2312" w:hAnsi="仿宋_GB2312" w:cs="仿宋_GB2312" w:eastAsia="仿宋_GB2312"/>
                <w:sz w:val="24"/>
                <w:b/>
              </w:rPr>
              <w:t>工作桌</w:t>
            </w:r>
            <w:r>
              <w:rPr>
                <w:rFonts w:ascii="仿宋_GB2312" w:hAnsi="仿宋_GB2312" w:cs="仿宋_GB2312" w:eastAsia="仿宋_GB2312"/>
                <w:sz w:val="24"/>
                <w:b/>
              </w:rPr>
              <w:t>尺寸</w:t>
            </w:r>
            <w:r>
              <w:rPr>
                <w:rFonts w:ascii="仿宋_GB2312" w:hAnsi="仿宋_GB2312" w:cs="仿宋_GB2312" w:eastAsia="仿宋_GB2312"/>
                <w:sz w:val="24"/>
                <w:b/>
              </w:rPr>
              <w:t>：</w:t>
            </w:r>
            <w:r>
              <w:rPr>
                <w:rFonts w:ascii="仿宋_GB2312" w:hAnsi="仿宋_GB2312" w:cs="仿宋_GB2312" w:eastAsia="仿宋_GB2312"/>
                <w:sz w:val="24"/>
                <w:b/>
              </w:rPr>
              <w:t>长度</w:t>
            </w:r>
            <w:r>
              <w:rPr>
                <w:rFonts w:ascii="仿宋_GB2312" w:hAnsi="仿宋_GB2312" w:cs="仿宋_GB2312" w:eastAsia="仿宋_GB2312"/>
                <w:sz w:val="24"/>
                <w:b/>
              </w:rPr>
              <w:t>120-140cm</w:t>
            </w:r>
            <w:r>
              <w:rPr>
                <w:rFonts w:ascii="仿宋_GB2312" w:hAnsi="仿宋_GB2312" w:cs="仿宋_GB2312" w:eastAsia="仿宋_GB2312"/>
                <w:sz w:val="24"/>
                <w:b/>
              </w:rPr>
              <w:t>，宽度</w:t>
            </w:r>
            <w:r>
              <w:rPr>
                <w:rFonts w:ascii="仿宋_GB2312" w:hAnsi="仿宋_GB2312" w:cs="仿宋_GB2312" w:eastAsia="仿宋_GB2312"/>
                <w:sz w:val="24"/>
                <w:b/>
              </w:rPr>
              <w:t>50-60cm</w:t>
            </w:r>
            <w:r>
              <w:rPr>
                <w:rFonts w:ascii="仿宋_GB2312" w:hAnsi="仿宋_GB2312" w:cs="仿宋_GB2312" w:eastAsia="仿宋_GB2312"/>
                <w:sz w:val="24"/>
                <w:b/>
              </w:rPr>
              <w:t>，高度</w:t>
            </w:r>
            <w:r>
              <w:rPr>
                <w:rFonts w:ascii="仿宋_GB2312" w:hAnsi="仿宋_GB2312" w:cs="仿宋_GB2312" w:eastAsia="仿宋_GB2312"/>
                <w:sz w:val="24"/>
                <w:b/>
              </w:rPr>
              <w:t>72-75cm</w:t>
            </w:r>
            <w:r>
              <w:rPr>
                <w:rFonts w:ascii="仿宋_GB2312" w:hAnsi="仿宋_GB2312" w:cs="仿宋_GB2312" w:eastAsia="仿宋_GB2312"/>
                <w:sz w:val="24"/>
                <w:b/>
              </w:rPr>
              <w:t>，承重力</w:t>
            </w:r>
            <w:r>
              <w:rPr>
                <w:rFonts w:ascii="仿宋_GB2312" w:hAnsi="仿宋_GB2312" w:cs="仿宋_GB2312" w:eastAsia="仿宋_GB2312"/>
                <w:sz w:val="24"/>
                <w:b/>
              </w:rPr>
              <w:t>≥</w:t>
            </w:r>
            <w:r>
              <w:rPr>
                <w:rFonts w:ascii="仿宋_GB2312" w:hAnsi="仿宋_GB2312" w:cs="仿宋_GB2312" w:eastAsia="仿宋_GB2312"/>
                <w:sz w:val="24"/>
                <w:b/>
              </w:rPr>
              <w:t xml:space="preserve">150kg </w:t>
            </w:r>
            <w:r>
              <w:rPr>
                <w:rFonts w:ascii="仿宋_GB2312" w:hAnsi="仿宋_GB2312" w:cs="仿宋_GB2312" w:eastAsia="仿宋_GB2312"/>
                <w:sz w:val="24"/>
                <w:b/>
              </w:rPr>
              <w:t>；工作椅</w:t>
            </w:r>
            <w:r>
              <w:rPr>
                <w:rFonts w:ascii="仿宋_GB2312" w:hAnsi="仿宋_GB2312" w:cs="仿宋_GB2312" w:eastAsia="仿宋_GB2312"/>
                <w:sz w:val="24"/>
                <w:b/>
              </w:rPr>
              <w:t>座面尺寸：</w:t>
            </w:r>
            <w:r>
              <w:rPr>
                <w:rFonts w:ascii="仿宋_GB2312" w:hAnsi="仿宋_GB2312" w:cs="仿宋_GB2312" w:eastAsia="仿宋_GB2312"/>
                <w:sz w:val="24"/>
                <w:b/>
              </w:rPr>
              <w:t>35-40cm</w:t>
            </w:r>
            <w:r>
              <w:rPr>
                <w:rFonts w:ascii="仿宋_GB2312" w:hAnsi="仿宋_GB2312" w:cs="仿宋_GB2312" w:eastAsia="仿宋_GB2312"/>
                <w:sz w:val="24"/>
                <w:b/>
              </w:rPr>
              <w:t>（长</w:t>
            </w:r>
            <w:r>
              <w:rPr>
                <w:rFonts w:ascii="仿宋_GB2312" w:hAnsi="仿宋_GB2312" w:cs="仿宋_GB2312" w:eastAsia="仿宋_GB2312"/>
                <w:sz w:val="24"/>
                <w:b/>
              </w:rPr>
              <w:t>×</w:t>
            </w:r>
            <w:r>
              <w:rPr>
                <w:rFonts w:ascii="仿宋_GB2312" w:hAnsi="仿宋_GB2312" w:cs="仿宋_GB2312" w:eastAsia="仿宋_GB2312"/>
                <w:sz w:val="24"/>
                <w:b/>
              </w:rPr>
              <w:t>宽），高</w:t>
            </w:r>
            <w:r>
              <w:rPr>
                <w:rFonts w:ascii="仿宋_GB2312" w:hAnsi="仿宋_GB2312" w:cs="仿宋_GB2312" w:eastAsia="仿宋_GB2312"/>
                <w:sz w:val="24"/>
                <w:b/>
              </w:rPr>
              <w:t>度：</w:t>
            </w:r>
            <w:r>
              <w:rPr>
                <w:rFonts w:ascii="仿宋_GB2312" w:hAnsi="仿宋_GB2312" w:cs="仿宋_GB2312" w:eastAsia="仿宋_GB2312"/>
                <w:sz w:val="24"/>
                <w:b/>
              </w:rPr>
              <w:t>45-50cm</w:t>
            </w:r>
            <w:r>
              <w:rPr>
                <w:rFonts w:ascii="仿宋_GB2312" w:hAnsi="仿宋_GB2312" w:cs="仿宋_GB2312" w:eastAsia="仿宋_GB2312"/>
                <w:sz w:val="24"/>
                <w:b/>
              </w:rPr>
              <w:t>，</w:t>
            </w:r>
            <w:r>
              <w:rPr>
                <w:rFonts w:ascii="仿宋_GB2312" w:hAnsi="仿宋_GB2312" w:cs="仿宋_GB2312" w:eastAsia="仿宋_GB2312"/>
                <w:sz w:val="24"/>
                <w:b/>
              </w:rPr>
              <w:t>承重力</w:t>
            </w:r>
            <w:r>
              <w:rPr>
                <w:rFonts w:ascii="仿宋_GB2312" w:hAnsi="仿宋_GB2312" w:cs="仿宋_GB2312" w:eastAsia="仿宋_GB2312"/>
                <w:sz w:val="24"/>
                <w:b/>
              </w:rPr>
              <w:t>≥</w:t>
            </w:r>
            <w:r>
              <w:rPr>
                <w:rFonts w:ascii="仿宋_GB2312" w:hAnsi="仿宋_GB2312" w:cs="仿宋_GB2312" w:eastAsia="仿宋_GB2312"/>
                <w:sz w:val="24"/>
                <w:b/>
              </w:rPr>
              <w:t>100kg</w:t>
            </w:r>
            <w:r>
              <w:rPr>
                <w:rFonts w:ascii="仿宋_GB2312" w:hAnsi="仿宋_GB2312" w:cs="仿宋_GB2312" w:eastAsia="仿宋_GB2312"/>
                <w:sz w:val="24"/>
                <w:b/>
              </w:rPr>
              <w:t>；</w:t>
            </w:r>
            <w:r>
              <w:rPr>
                <w:rFonts w:ascii="仿宋_GB2312" w:hAnsi="仿宋_GB2312" w:cs="仿宋_GB2312" w:eastAsia="仿宋_GB2312"/>
                <w:sz w:val="24"/>
                <w:b/>
              </w:rPr>
              <w:t>环保等级</w:t>
            </w:r>
            <w:r>
              <w:rPr>
                <w:rFonts w:ascii="仿宋_GB2312" w:hAnsi="仿宋_GB2312" w:cs="仿宋_GB2312" w:eastAsia="仿宋_GB2312"/>
                <w:sz w:val="24"/>
                <w:b/>
              </w:rPr>
              <w:t>E1。</w:t>
            </w:r>
          </w:p>
          <w:p>
            <w:pPr>
              <w:pStyle w:val="null3"/>
              <w:jc w:val="both"/>
            </w:pPr>
            <w:r>
              <w:rPr>
                <w:rFonts w:ascii="仿宋_GB2312" w:hAnsi="仿宋_GB2312" w:cs="仿宋_GB2312" w:eastAsia="仿宋_GB2312"/>
                <w:sz w:val="24"/>
              </w:rPr>
              <w:t>7.6网络交换机：</w:t>
            </w:r>
            <w:r>
              <w:rPr>
                <w:rFonts w:ascii="仿宋_GB2312" w:hAnsi="仿宋_GB2312" w:cs="仿宋_GB2312" w:eastAsia="仿宋_GB2312"/>
                <w:sz w:val="24"/>
              </w:rPr>
              <w:t>≥</w:t>
            </w:r>
            <w:r>
              <w:rPr>
                <w:rFonts w:ascii="仿宋_GB2312" w:hAnsi="仿宋_GB2312" w:cs="仿宋_GB2312" w:eastAsia="仿宋_GB2312"/>
                <w:sz w:val="24"/>
              </w:rPr>
              <w:t>22口。</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自合同签订之日起60个日历日内完成运输、安装、调试、培训，达到验收标准。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(1)若非中小企业中标，采购人自验收合格之日起30日内支付合同总金额的100.00%。(2)若中小企业中标，采购人应支付不低于合同价款40%的预付款，且在验收合格后，达到付款条件起30日内，支付合同总金额的100.00%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甲、乙双方共同开箱验收。在检查设备原产地、规格、型号、配置等符合合同要求后，由乙方负责安装调试，甲方负责技术验收（乙方协助），验收标准以国际、国内或同文本仪器设备详细配置清单中描述的有关技术要求为准。 2.乙方安装调试完毕、正常运行 天后向甲方提出书面验收申请，甲方将组织人员对采购物品进行核查验收，核查验收时需出具经甲方确认的开箱验收报告，核查验收工作完成后签字确认。验收不合格的，限期整改；整改仍达不到要求的，作退货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标准：达到国家、行业验收规范合格标准，符合采购文件技术指标要求。2.培训要求：安装调试完后免费派技术工程师对使用人员进行7天设备及系统的基本操作使用、注意事项、日常保养及维护等培训；满足用户需求，保证采购人人员熟练操作和怎样处理紧急情况。3.售后服务要求：要求提供7×24小时技术支持，在接到故障报修后，由专业人员1小时内响应，若电话沟通无法解决，24小时内到达现场(保修期内、外),使设备尽快恢复正常，零配件供应最长不得超过2周。4.付款方式：(1)若非中小企业中标，采购人自验收合格之日起30日内支付款项(最终以甲乙双方签订的合同为准)。(2)若中小企业中标，采购人应支付不低于合同价款40%的预付款，且在自验收合格之日起30日内支付剩余款项(最终以甲乙双方签订的合同为准)。5.为顺利推进政府采购电子化交易平台应用工作，投标人需要在线提交所有通过电子化交易平台实施的政府采购项目的投标文件，同时，线下提交纸质版投标文件，正本壹份、副本贰份(标明投标人名称，密封递交)。若线上电子投标文件与纸质投标文件不一致的，以线上电子投标文件为准；若正本和副本不符，以正本为准。线下递交文件截止时间:详见本项目招标公告文件递交截止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投标文件的供货期、质保期</w:t>
            </w:r>
          </w:p>
        </w:tc>
        <w:tc>
          <w:tcPr>
            <w:tcW w:type="dxa" w:w="3322"/>
          </w:tcPr>
          <w:p>
            <w:pPr>
              <w:pStyle w:val="null3"/>
            </w:pPr>
            <w:r>
              <w:rPr>
                <w:rFonts w:ascii="仿宋_GB2312" w:hAnsi="仿宋_GB2312" w:cs="仿宋_GB2312" w:eastAsia="仿宋_GB2312"/>
              </w:rPr>
              <w:t>投标文件的供货期、质保期不满足招标文件要求 不合格 投标文件的供货期、质保期满足招标文件要求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供应商资格要求.docx 投标函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供应商认为有必要说明的其他问题.docx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基本分（40分）：完全符合、响应招标文件要求，没有负偏离计40分，每负偏离一项扣1.6分，扣完为止。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根据内容的完整性、针对性、合理性每项最高计2分，共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根据内容的完整性、针对性、合理性每项最高计1.5分，共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1、提供供应商2022年1月1日至今类似项目合同（以合同签订日期为准），每提供1个得1分，最高得5分。备注：响应文件中提供合同复印件。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针对本项目有具体的培训方案，该方案包含：①培训目标及培训内容；②培训计划安排；③人员安排；根据内容的完整性、针对性、合理性每项最高计1分，共3分，未提供不得分。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⑤故障处理响应时间。根据内容的完整性、针对性、合理性每项最高计1分，共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