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版本号：0617—2521GZ224420250923002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图书馆改造项目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0617—2521GZ2244</w:t>
      </w:r>
      <w:r>
        <w:br/>
      </w:r>
      <w:r>
        <w:br/>
      </w:r>
      <w:r>
        <w:br/>
      </w:r>
    </w:p>
    <w:p>
      <w:pPr>
        <w:pStyle w:val="null3"/>
        <w:jc w:val="center"/>
        <w:outlineLvl w:val="2"/>
      </w:pPr>
      <w:r>
        <w:rPr>
          <w:rFonts w:ascii="仿宋_GB2312" w:hAnsi="仿宋_GB2312" w:cs="仿宋_GB2312" w:eastAsia="仿宋_GB2312"/>
          <w:sz w:val="28"/>
          <w:b/>
        </w:rPr>
        <w:t>陕西省西安爱知中学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陕西省西安爱知中学</w:t>
      </w:r>
      <w:r>
        <w:rPr>
          <w:rFonts w:ascii="仿宋_GB2312" w:hAnsi="仿宋_GB2312" w:cs="仿宋_GB2312" w:eastAsia="仿宋_GB2312"/>
        </w:rPr>
        <w:t>委托，拟对</w:t>
      </w:r>
      <w:r>
        <w:rPr>
          <w:rFonts w:ascii="仿宋_GB2312" w:hAnsi="仿宋_GB2312" w:cs="仿宋_GB2312" w:eastAsia="仿宋_GB2312"/>
        </w:rPr>
        <w:t>图书馆改造项目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0617—2521GZ2244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图书馆改造项目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图书馆改造，1项，详见图纸和工程量清单。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1、供应商施工资质要求：供应商须持有建筑装修装饰工程专业承包二级或以上资质证书，及有效的安全生产许可证；</w:t>
      </w:r>
    </w:p>
    <w:p>
      <w:pPr>
        <w:pStyle w:val="null3"/>
      </w:pPr>
      <w:r>
        <w:rPr>
          <w:rFonts w:ascii="仿宋_GB2312" w:hAnsi="仿宋_GB2312" w:cs="仿宋_GB2312" w:eastAsia="仿宋_GB2312"/>
        </w:rPr>
        <w:t>2、拟派项目负责人要求：拟派项目经理须具备建筑工程专业二级或以上注册建造师执业资格，及有效的安全生产考核合格证书，且未担任其他在建工程项目的项目经理（提供承诺书）</w:t>
      </w:r>
    </w:p>
    <w:p>
      <w:pPr>
        <w:pStyle w:val="null3"/>
      </w:pPr>
      <w:r>
        <w:rPr>
          <w:rFonts w:ascii="仿宋_GB2312" w:hAnsi="仿宋_GB2312" w:cs="仿宋_GB2312" w:eastAsia="仿宋_GB2312"/>
        </w:rPr>
        <w:t>3、建筑企业信息查询：供应商及项目经理信息在“陕西省建筑市场监管与诚信信息发布平台”可查询。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陕西省西安爱知中学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陕西省西安市西城区西七路239号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陕西省西安爱知中学经办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029-87274400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张婉迪、宋鹏飞、张喆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029-85239900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 xml:space="preserve"> 荧光灯（A020619照明设备 普通照明用双端荧光灯)、龙头（A060806水嘴）</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 xml:space="preserve"> 室内照明用LED灯 </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水泥、混凝土、石膏板、门，墙、柱面装饰板 ，龙头、室内照明灯具，台、桌类，椅凳类、柜类、人造板、二次加工材,相关板材、墙面涂料</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的标准向中标（成交）供应商收取代理服务费；2.缴费时间：确定中标（成交）供应商后3日内，由中标（成交）供应商向采购代理机构一次付清代理服务费； 3.银行信息: 户名：西北（陕西）国际招标有限公司；开户银行：交通银行西安长安大学支行；账号：611301151018010003843。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陕西省西安爱知中学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陕西省西安爱知中学</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陕西省西安爱知中学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3,370,000.00</w:t>
      </w:r>
    </w:p>
    <w:p>
      <w:pPr>
        <w:pStyle w:val="null3"/>
      </w:pPr>
      <w:r>
        <w:rPr>
          <w:rFonts w:ascii="仿宋_GB2312" w:hAnsi="仿宋_GB2312" w:cs="仿宋_GB2312" w:eastAsia="仿宋_GB2312"/>
        </w:rPr>
        <w:t>采购包最高限价（元）: 3,364,574.89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图书馆提升改造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3,370,000.00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标的名称：图书馆提升改造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一、采购内容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本工程为陕西省西安爱知中学图书馆改造工程，位于陕西省西安爱知中学内,本工程主要建设内容为对原有图书馆进行改造，工程内容详见工程量清单。</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工期：自进场之日起45个日历日内竣工。</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质量要求：达到国家现行行业施工验收规范“合格”标准。</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其他要求：工作时间按照学校相关规定执行。</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二、采购人推荐品牌设备、材料表</w:t>
            </w:r>
          </w:p>
          <w:tbl>
            <w:tblPr>
              <w:tblBorders>
                <w:top w:val="none" w:color="000000" w:sz="4"/>
                <w:left w:val="none" w:color="000000" w:sz="4"/>
                <w:bottom w:val="none" w:color="000000" w:sz="4"/>
                <w:right w:val="none" w:color="000000" w:sz="4"/>
                <w:insideH w:val="none"/>
                <w:insideV w:val="none"/>
              </w:tblBorders>
            </w:tblPr>
            <w:tblGrid>
              <w:gridCol w:w="460"/>
              <w:gridCol w:w="576"/>
              <w:gridCol w:w="1125"/>
              <w:gridCol w:w="387"/>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推荐品牌</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电线电缆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津成，正泰，上上</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乳胶漆涂料</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立邦，多乐士，</w:t>
                  </w:r>
                  <w:r>
                    <w:rPr>
                      <w:rFonts w:ascii="仿宋_GB2312" w:hAnsi="仿宋_GB2312" w:cs="仿宋_GB2312" w:eastAsia="仿宋_GB2312"/>
                      <w:sz w:val="20"/>
                    </w:rPr>
                    <w:t>三棵树</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塑胶地板</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圣象</w:t>
                  </w:r>
                  <w:r>
                    <w:rPr>
                      <w:rFonts w:ascii="仿宋_GB2312" w:hAnsi="仿宋_GB2312" w:cs="仿宋_GB2312" w:eastAsia="仿宋_GB2312"/>
                      <w:sz w:val="20"/>
                    </w:rPr>
                    <w:t>，欧朗，</w:t>
                  </w:r>
                  <w:r>
                    <w:rPr>
                      <w:rFonts w:ascii="仿宋_GB2312" w:hAnsi="仿宋_GB2312" w:cs="仿宋_GB2312" w:eastAsia="仿宋_GB2312"/>
                      <w:sz w:val="20"/>
                    </w:rPr>
                    <w:t>芝柏</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开关，插座</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正泰，公牛，</w:t>
                  </w:r>
                  <w:r>
                    <w:rPr>
                      <w:rFonts w:ascii="仿宋_GB2312" w:hAnsi="仿宋_GB2312" w:cs="仿宋_GB2312" w:eastAsia="仿宋_GB2312"/>
                      <w:sz w:val="20"/>
                    </w:rPr>
                    <w:t>罗格朗</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PVC线管</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联塑，日丰，伟星</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柜类定制家具（人造板）</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大亚，露水河，福人</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图书馆设备</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信昇达</w:t>
                  </w:r>
                  <w:r>
                    <w:rPr>
                      <w:rFonts w:ascii="仿宋_GB2312" w:hAnsi="仿宋_GB2312" w:cs="仿宋_GB2312" w:eastAsia="仿宋_GB2312"/>
                      <w:sz w:val="20"/>
                    </w:rPr>
                    <w:t>，蓝鲸，</w:t>
                  </w:r>
                  <w:r>
                    <w:rPr>
                      <w:rFonts w:ascii="仿宋_GB2312" w:hAnsi="仿宋_GB2312" w:cs="仿宋_GB2312" w:eastAsia="仿宋_GB2312"/>
                      <w:sz w:val="20"/>
                    </w:rPr>
                    <w:t>印天</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rFonts w:ascii="仿宋_GB2312" w:hAnsi="仿宋_GB2312" w:cs="仿宋_GB2312" w:eastAsia="仿宋_GB2312"/>
              </w:rPr>
              <w:t>注：所有品牌均为对产品的性能或功能说明，不作指定，投标人应选用同等档次及以上产品，满足采购需求。其中涉及节能产品政府采购品目清单(政府强制采购节能产品)的材料，应按照政府采购相关要求执行。</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三、绿色建材清单</w:t>
            </w:r>
            <w:r>
              <w:br/>
            </w: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405"/>
              <w:gridCol w:w="374"/>
              <w:gridCol w:w="405"/>
              <w:gridCol w:w="723"/>
              <w:gridCol w:w="646"/>
            </w:tblGrid>
            <w:tr>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材料类别</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产品名称</w:t>
                  </w:r>
                </w:p>
              </w:tc>
              <w:tc>
                <w:tcPr>
                  <w:tcW w:type="dxa" w:w="136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依据标准</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墙面顶面材料</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纸面石膏板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纸面石膏板</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T/CECS 10056</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《绿色建筑评价标准》</w:t>
                  </w:r>
                  <w:r>
                    <w:rPr>
                      <w:rFonts w:ascii="仿宋_GB2312" w:hAnsi="仿宋_GB2312" w:cs="仿宋_GB2312" w:eastAsia="仿宋_GB2312"/>
                      <w:sz w:val="20"/>
                      <w:color w:val="000000"/>
                    </w:rPr>
                    <w:t>GB/T 50378</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镀锌轻钢龙骨</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镀锌轻钢龙骨</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T/CECS 10250</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《绿色建筑评价标准》</w:t>
                  </w:r>
                  <w:r>
                    <w:rPr>
                      <w:rFonts w:ascii="仿宋_GB2312" w:hAnsi="仿宋_GB2312" w:cs="仿宋_GB2312" w:eastAsia="仿宋_GB2312"/>
                      <w:sz w:val="20"/>
                      <w:color w:val="000000"/>
                    </w:rPr>
                    <w:t>GB/T 50378</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石材</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石材</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T/CECS 10051</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《绿色建筑评价标准》</w:t>
                  </w:r>
                  <w:r>
                    <w:rPr>
                      <w:rFonts w:ascii="仿宋_GB2312" w:hAnsi="仿宋_GB2312" w:cs="仿宋_GB2312" w:eastAsia="仿宋_GB2312"/>
                      <w:sz w:val="20"/>
                      <w:color w:val="000000"/>
                    </w:rPr>
                    <w:t>GB/T 50378</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地面材料</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弹性地面</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橡胶类弹性地板</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GH/T11982.2-2015</w:t>
                  </w:r>
                </w:p>
                <w:p>
                  <w:pPr>
                    <w:pStyle w:val="null3"/>
                    <w:jc w:val="both"/>
                  </w:pPr>
                  <w:r>
                    <w:rPr>
                      <w:rFonts w:ascii="仿宋_GB2312" w:hAnsi="仿宋_GB2312" w:cs="仿宋_GB2312" w:eastAsia="仿宋_GB2312"/>
                      <w:sz w:val="20"/>
                      <w:color w:val="000000"/>
                    </w:rPr>
                    <w:t>或</w:t>
                  </w:r>
                  <w:r>
                    <w:rPr>
                      <w:rFonts w:ascii="仿宋_GB2312" w:hAnsi="仿宋_GB2312" w:cs="仿宋_GB2312" w:eastAsia="仿宋_GB2312"/>
                      <w:sz w:val="20"/>
                      <w:color w:val="000000"/>
                    </w:rPr>
                    <w:t>I</w:t>
                  </w:r>
                  <w:r>
                    <w:rPr>
                      <w:rFonts w:ascii="仿宋_GB2312" w:hAnsi="仿宋_GB2312" w:cs="仿宋_GB2312" w:eastAsia="仿宋_GB2312"/>
                      <w:sz w:val="20"/>
                      <w:color w:val="000000"/>
                    </w:rPr>
                    <w:t>S</w:t>
                  </w:r>
                  <w:r>
                    <w:rPr>
                      <w:rFonts w:ascii="仿宋_GB2312" w:hAnsi="仿宋_GB2312" w:cs="仿宋_GB2312" w:eastAsia="仿宋_GB2312"/>
                      <w:sz w:val="20"/>
                      <w:color w:val="000000"/>
                    </w:rPr>
                    <w:t>O</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10581-2019</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1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塑料管材管件</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管材管件</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PVC线管</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GB/T 26125、T/CECS 10058</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《建筑给水排水设计标准》</w:t>
                  </w:r>
                  <w:r>
                    <w:rPr>
                      <w:rFonts w:ascii="仿宋_GB2312" w:hAnsi="仿宋_GB2312" w:cs="仿宋_GB2312" w:eastAsia="仿宋_GB2312"/>
                      <w:sz w:val="20"/>
                      <w:color w:val="000000"/>
                    </w:rPr>
                    <w:t>GB 50015</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14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照明</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电气照明</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室内照明用</w:t>
                  </w:r>
                  <w:r>
                    <w:rPr>
                      <w:rFonts w:ascii="仿宋_GB2312" w:hAnsi="仿宋_GB2312" w:cs="仿宋_GB2312" w:eastAsia="仿宋_GB2312"/>
                      <w:sz w:val="20"/>
                      <w:color w:val="000000"/>
                    </w:rPr>
                    <w:t>LED</w:t>
                  </w:r>
                </w:p>
              </w:tc>
              <w:tc>
                <w:tcPr>
                  <w:tcW w:type="dxa" w:w="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GB 30255、GB 38450、GB/T 50378、T/CECS 10064</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四、绿色建材产品分级认证目录及依据标准</w:t>
            </w:r>
          </w:p>
          <w:tbl>
            <w:tblPr>
              <w:tblBorders>
                <w:top w:val="none" w:color="000000" w:sz="4"/>
                <w:left w:val="none" w:color="000000" w:sz="4"/>
                <w:bottom w:val="none" w:color="000000" w:sz="4"/>
                <w:right w:val="none" w:color="000000" w:sz="4"/>
                <w:insideH w:val="none"/>
                <w:insideV w:val="none"/>
              </w:tblBorders>
            </w:tblPr>
            <w:tblGrid>
              <w:gridCol w:w="392"/>
              <w:gridCol w:w="578"/>
              <w:gridCol w:w="713"/>
              <w:gridCol w:w="869"/>
            </w:tblGrid>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产品大类</w:t>
                  </w:r>
                </w:p>
              </w:tc>
              <w:tc>
                <w:tcPr>
                  <w:tcW w:type="dxa" w:w="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产品种类</w:t>
                  </w:r>
                </w:p>
              </w:tc>
              <w:tc>
                <w:tcPr>
                  <w:tcW w:type="dxa" w:w="8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依据标准</w:t>
                  </w:r>
                </w:p>
              </w:tc>
            </w:tr>
            <w:tr>
              <w:tc>
                <w:tcPr>
                  <w:tcW w:type="dxa" w:w="3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建筑装饰装修材料</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纸面石膏板</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T/CECS 10056</w:t>
                  </w:r>
                </w:p>
              </w:tc>
            </w:tr>
            <w:tr>
              <w:tc>
                <w:tcPr>
                  <w:tcW w:type="dxa" w:w="3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78"/>
                  <w:vMerge/>
                  <w:tcBorders>
                    <w:top w:val="none" w:color="000000" w:sz="4"/>
                    <w:left w:val="single" w:color="000000" w:sz="4"/>
                    <w:bottom w:val="single" w:color="000000" w:sz="4"/>
                    <w:right w:val="single" w:color="000000" w:sz="4"/>
                  </w:tcBorders>
                </w:tc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镀锌轻钢龙骨</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T/CECS 10250</w:t>
                  </w:r>
                </w:p>
              </w:tc>
            </w:tr>
            <w:tr>
              <w:tc>
                <w:tcPr>
                  <w:tcW w:type="dxa" w:w="3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78"/>
                  <w:vMerge/>
                  <w:tcBorders>
                    <w:top w:val="none" w:color="000000" w:sz="4"/>
                    <w:left w:val="single" w:color="000000" w:sz="4"/>
                    <w:bottom w:val="single" w:color="000000" w:sz="4"/>
                    <w:right w:val="single" w:color="000000" w:sz="4"/>
                  </w:tcBorders>
                </w:tc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石材</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T/CECS 10051</w:t>
                  </w:r>
                </w:p>
              </w:tc>
            </w:tr>
            <w:tr>
              <w:tc>
                <w:tcPr>
                  <w:tcW w:type="dxa" w:w="3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78"/>
                  <w:vMerge/>
                  <w:tcBorders>
                    <w:top w:val="none" w:color="000000" w:sz="4"/>
                    <w:left w:val="single" w:color="000000" w:sz="4"/>
                    <w:bottom w:val="single" w:color="000000" w:sz="4"/>
                    <w:right w:val="single" w:color="000000" w:sz="4"/>
                  </w:tcBorders>
                </w:tc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橡胶类弹性地板</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T/CECS 10252</w:t>
                  </w:r>
                </w:p>
              </w:tc>
            </w:tr>
            <w:tr>
              <w:tc>
                <w:tcPr>
                  <w:tcW w:type="dxa" w:w="3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78"/>
                  <w:vMerge/>
                  <w:tcBorders>
                    <w:top w:val="none" w:color="000000" w:sz="4"/>
                    <w:left w:val="single" w:color="000000" w:sz="4"/>
                    <w:bottom w:val="single" w:color="000000" w:sz="4"/>
                    <w:right w:val="single" w:color="000000" w:sz="4"/>
                  </w:tcBorders>
                </w:tc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PVC线管</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GB/T 26125、T/CECS 10058</w:t>
                  </w:r>
                </w:p>
              </w:tc>
            </w:tr>
            <w:tr>
              <w:tc>
                <w:tcPr>
                  <w:tcW w:type="dxa" w:w="3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78"/>
                  <w:vMerge/>
                  <w:tcBorders>
                    <w:top w:val="none" w:color="000000" w:sz="4"/>
                    <w:left w:val="single" w:color="000000" w:sz="4"/>
                    <w:bottom w:val="single" w:color="000000" w:sz="4"/>
                    <w:right w:val="single" w:color="000000" w:sz="4"/>
                  </w:tcBorders>
                </w:tc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室内照明用</w:t>
                  </w:r>
                  <w:r>
                    <w:rPr>
                      <w:rFonts w:ascii="仿宋_GB2312" w:hAnsi="仿宋_GB2312" w:cs="仿宋_GB2312" w:eastAsia="仿宋_GB2312"/>
                      <w:sz w:val="20"/>
                      <w:color w:val="000000"/>
                    </w:rPr>
                    <w:t>LED</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GB 30255、GB 38450、GB/T 50378、T/CECS 10064</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五、具体施工规范</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--《建筑装饰装修工程质量验收标准》（GB 50210 - 2018） ：适用于公共区域、楼道等的墙面、顶面粉刷，以及门窗更换等装饰装修工程。对各分项工程的材料质量、施工工艺、质量验收标准等都作出了详细规定，如墙面平整度、门窗安装的密封性等。</w:t>
            </w:r>
          </w:p>
          <w:p>
            <w:pPr>
              <w:pStyle w:val="null3"/>
            </w:pPr>
            <w:r>
              <w:rPr>
                <w:rFonts w:ascii="仿宋_GB2312" w:hAnsi="仿宋_GB2312" w:cs="仿宋_GB2312" w:eastAsia="仿宋_GB2312"/>
              </w:rPr>
              <w:t>--《建筑地面工程施工质量验收规范》（GB 50209 - 2010 ） ：针对部分公寓 PVC 塑胶地板铺设工程，规定了基层处理要求、塑胶地板的铺设方法、质量检验标准等，确保地面工程的质量和使用功能 。</w:t>
            </w:r>
            <w:r>
              <w:br/>
            </w:r>
            <w:r>
              <w:rPr>
                <w:rFonts w:ascii="仿宋_GB2312" w:hAnsi="仿宋_GB2312" w:cs="仿宋_GB2312" w:eastAsia="仿宋_GB2312"/>
              </w:rPr>
              <w:t xml:space="preserve"> 建筑电气安装工程规范。《建筑电气工程施工质量验收规范》（GB 50303 - 2015） ：适用于过道灯具、插座、开关等电气改造工程，对电气设备和材料的进场验收、电气线路敷设、电气装置安装、防雷及接地安装等施工环节的质量要求和验收标准进行了明确规定，保障用电安全 。</w:t>
            </w:r>
          </w:p>
          <w:p>
            <w:pPr>
              <w:pStyle w:val="null3"/>
            </w:pPr>
            <w:r>
              <w:rPr>
                <w:rFonts w:ascii="仿宋_GB2312" w:hAnsi="仿宋_GB2312" w:cs="仿宋_GB2312" w:eastAsia="仿宋_GB2312"/>
              </w:rPr>
              <w:t>-- 建筑给排水及采暖工程规范。《建筑给水排水及采暖工程施工质量验收规范》（GB 50242 - 2002） ：在给排水改造（不含地沟部分）、暖气片及暖气管道安装等工程中，对给排水及采暖管道的材料选择、管道连接、安装坡度、水压试验等施工要点和质量验收标准进行了规范，保证给排水系统和采暖系统的正常运行 。</w:t>
            </w:r>
          </w:p>
          <w:p>
            <w:pPr>
              <w:pStyle w:val="null3"/>
            </w:pPr>
            <w:r>
              <w:rPr>
                <w:rFonts w:ascii="仿宋_GB2312" w:hAnsi="仿宋_GB2312" w:cs="仿宋_GB2312" w:eastAsia="仿宋_GB2312"/>
              </w:rPr>
              <w:t>-- 消防工程相关规范。《建筑设计防火规范》（GB 50016 - 2014，2018 年版） ：在对进行维修改造时，需满足该规范中关于消防设施布置、疏散通道设计等消防要求，确保消防安全 。《消防设施工程施工及验收规范》 ：对于消防设施（如消防管道油漆等涉及消防设施维护改造的部分）的施工和验收，该规范明确了施工工艺和质量验收标准，保证消防设施能够正常运行</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本工程的施工过程和成果必须符合国家有关标准强制性条文和国家或有关部门关于工程施工方面现行的标准、规范、规程、定额、办法、示例，以及陕西省关于工程施工方面的文件、规定。</w:t>
            </w:r>
          </w:p>
          <w:p>
            <w:pPr>
              <w:pStyle w:val="null3"/>
            </w:pPr>
            <w:r>
              <w:rPr>
                <w:rFonts w:ascii="仿宋_GB2312" w:hAnsi="仿宋_GB2312" w:cs="仿宋_GB2312" w:eastAsia="仿宋_GB2312"/>
              </w:rPr>
              <w:t>承包人在施工过程中使用或参考上述标准、规范以外的技术标准、规范时，应征得业主或业主指定代表人的同意。</w:t>
            </w:r>
          </w:p>
          <w:p>
            <w:pPr>
              <w:pStyle w:val="null3"/>
            </w:pPr>
            <w:r>
              <w:rPr>
                <w:rFonts w:ascii="仿宋_GB2312" w:hAnsi="仿宋_GB2312" w:cs="仿宋_GB2312" w:eastAsia="仿宋_GB2312"/>
              </w:rPr>
              <w:t>在施工过程中，如果国家或有关部门颁布了新的技术标准或规范，则承包人应采用新的标准或规范进行施工。</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六、施工工序要求</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（一）总体要求。</w:t>
            </w:r>
          </w:p>
          <w:p>
            <w:pPr>
              <w:pStyle w:val="null3"/>
            </w:pPr>
            <w:r>
              <w:rPr>
                <w:rFonts w:ascii="仿宋_GB2312" w:hAnsi="仿宋_GB2312" w:cs="仿宋_GB2312" w:eastAsia="仿宋_GB2312"/>
              </w:rPr>
              <w:t>本次施工为爱知中学西小楼备课教室装修项目，施工方需严格按照各项目的施工材料及工艺要求进行施工，确保工程质量符合相关标准，保障施工安全与进度。</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1、新建部分施工工序要求</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（1）木门安装</w:t>
            </w:r>
            <w:r>
              <w:br/>
            </w:r>
            <w:r>
              <w:rPr>
                <w:rFonts w:ascii="仿宋_GB2312" w:hAnsi="仿宋_GB2312" w:cs="仿宋_GB2312" w:eastAsia="仿宋_GB2312"/>
              </w:rPr>
              <w:t xml:space="preserve"> 材料准备：采用定制木门，确保木门的质量、规格、尺寸等符合设计要求。到货后需对木门进行检查，包括外观是否有损伤、尺寸是否准确等。</w:t>
            </w:r>
            <w:r>
              <w:br/>
            </w:r>
            <w:r>
              <w:rPr>
                <w:rFonts w:ascii="仿宋_GB2312" w:hAnsi="仿宋_GB2312" w:cs="仿宋_GB2312" w:eastAsia="仿宋_GB2312"/>
              </w:rPr>
              <w:t xml:space="preserve"> 门框安装：先进行门框的定位放线，保证门框安装位置准确。门框安装时要保证垂直、水平，采用合适的固定方式固定门框，确保门框牢固。</w:t>
            </w:r>
            <w:r>
              <w:br/>
            </w:r>
            <w:r>
              <w:rPr>
                <w:rFonts w:ascii="仿宋_GB2312" w:hAnsi="仿宋_GB2312" w:cs="仿宋_GB2312" w:eastAsia="仿宋_GB2312"/>
              </w:rPr>
              <w:t xml:space="preserve"> 门扇安装：将定制好的门扇安装到门框上，调整门扇的开合灵活度，确保门缝均匀，密封性能良好。</w:t>
            </w:r>
            <w:r>
              <w:br/>
            </w:r>
            <w:r>
              <w:rPr>
                <w:rFonts w:ascii="仿宋_GB2312" w:hAnsi="仿宋_GB2312" w:cs="仿宋_GB2312" w:eastAsia="仿宋_GB2312"/>
              </w:rPr>
              <w:t xml:space="preserve"> 配件安装：安装门锁、合页等配件，保证配件安装牢固，使用正常。</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（2）更换暖气片</w:t>
            </w:r>
            <w:r>
              <w:br/>
            </w:r>
            <w:r>
              <w:rPr>
                <w:rFonts w:ascii="仿宋_GB2312" w:hAnsi="仿宋_GB2312" w:cs="仿宋_GB2312" w:eastAsia="仿宋_GB2312"/>
              </w:rPr>
              <w:t xml:space="preserve"> 材料检验：对新采购的铜铝暖气片及配件进行检验，检查暖气片的规格、材质、外观等是否符合要求，配件是否齐全。</w:t>
            </w:r>
            <w:r>
              <w:br/>
            </w:r>
            <w:r>
              <w:rPr>
                <w:rFonts w:ascii="仿宋_GB2312" w:hAnsi="仿宋_GB2312" w:cs="仿宋_GB2312" w:eastAsia="仿宋_GB2312"/>
              </w:rPr>
              <w:t xml:space="preserve"> 旧暖气片拆除：在拆除旧暖气片前，需关闭供暖系统的进水和回水阀门，排放暖气片内的水。小心拆除旧暖气片，避免对周围墙面和地面造成损坏。</w:t>
            </w:r>
            <w:r>
              <w:br/>
            </w:r>
            <w:r>
              <w:rPr>
                <w:rFonts w:ascii="仿宋_GB2312" w:hAnsi="仿宋_GB2312" w:cs="仿宋_GB2312" w:eastAsia="仿宋_GB2312"/>
              </w:rPr>
              <w:t xml:space="preserve"> 新暖气片安装：按照设计要求的位置安装新的铜铝暖气片，确保暖气片安装平整、牢固。连接好进水和回水管道，保证管道连接紧密，无渗漏。</w:t>
            </w:r>
            <w:r>
              <w:br/>
            </w:r>
            <w:r>
              <w:rPr>
                <w:rFonts w:ascii="仿宋_GB2312" w:hAnsi="仿宋_GB2312" w:cs="仿宋_GB2312" w:eastAsia="仿宋_GB2312"/>
              </w:rPr>
              <w:t xml:space="preserve"> 压力测试：安装完成后，对暖气片系统进行压力测试，检查是否有漏水现象，确保系统正常运行。</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（3）包暖气管道</w:t>
            </w:r>
            <w:r>
              <w:br/>
            </w:r>
            <w:r>
              <w:rPr>
                <w:rFonts w:ascii="仿宋_GB2312" w:hAnsi="仿宋_GB2312" w:cs="仿宋_GB2312" w:eastAsia="仿宋_GB2312"/>
              </w:rPr>
              <w:t xml:space="preserve"> 骨架搭建：采用轻钢龙骨搭建暖气管道的骨架，按照设计要求进行龙骨的间距设置和固定，保证骨架的牢固性和垂直度。</w:t>
            </w:r>
            <w:r>
              <w:br/>
            </w:r>
            <w:r>
              <w:rPr>
                <w:rFonts w:ascii="仿宋_GB2312" w:hAnsi="仿宋_GB2312" w:cs="仿宋_GB2312" w:eastAsia="仿宋_GB2312"/>
              </w:rPr>
              <w:t xml:space="preserve"> 基础施工：在轻钢龙骨骨架上安装防火木工板基础，使用合适的固定方式，如自攻螺丝等，确保木工板与龙骨连接紧密。</w:t>
            </w:r>
            <w:r>
              <w:br/>
            </w:r>
            <w:r>
              <w:rPr>
                <w:rFonts w:ascii="仿宋_GB2312" w:hAnsi="仿宋_GB2312" w:cs="仿宋_GB2312" w:eastAsia="仿宋_GB2312"/>
              </w:rPr>
              <w:t xml:space="preserve"> 饰面安装：安装墙板饰面，注意墙板的拼接质量，保证饰面平整、美观，无明显缝隙和瑕疵。</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（4）金属暖气罩安装</w:t>
            </w:r>
            <w:r>
              <w:br/>
            </w:r>
            <w:r>
              <w:rPr>
                <w:rFonts w:ascii="仿宋_GB2312" w:hAnsi="仿宋_GB2312" w:cs="仿宋_GB2312" w:eastAsia="仿宋_GB2312"/>
              </w:rPr>
              <w:t xml:space="preserve"> 定制加工：根据暖气管道的尺寸和设计要求定制金属暖气罩，确保暖气罩的材质、规格符合要求。</w:t>
            </w:r>
            <w:r>
              <w:br/>
            </w:r>
            <w:r>
              <w:rPr>
                <w:rFonts w:ascii="仿宋_GB2312" w:hAnsi="仿宋_GB2312" w:cs="仿宋_GB2312" w:eastAsia="仿宋_GB2312"/>
              </w:rPr>
              <w:t xml:space="preserve"> 安装定位：确定金属暖气罩的安装位置，进行准确的定位放线。</w:t>
            </w:r>
            <w:r>
              <w:br/>
            </w:r>
            <w:r>
              <w:rPr>
                <w:rFonts w:ascii="仿宋_GB2312" w:hAnsi="仿宋_GB2312" w:cs="仿宋_GB2312" w:eastAsia="仿宋_GB2312"/>
              </w:rPr>
              <w:t xml:space="preserve"> 安装固定：将定制好的金属暖气罩安装到指定位置，采用合适的固定方式，保证暖气罩牢固、稳定。</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（5）包柱子及管道</w:t>
            </w:r>
            <w:r>
              <w:br/>
            </w:r>
            <w:r>
              <w:rPr>
                <w:rFonts w:ascii="仿宋_GB2312" w:hAnsi="仿宋_GB2312" w:cs="仿宋_GB2312" w:eastAsia="仿宋_GB2312"/>
              </w:rPr>
              <w:t xml:space="preserve"> 基础施工：先在柱子及管道周围安装防火木工板基础，对木工板进行裁剪和拼接，保证基础平整、贴合。</w:t>
            </w:r>
            <w:r>
              <w:br/>
            </w:r>
            <w:r>
              <w:rPr>
                <w:rFonts w:ascii="仿宋_GB2312" w:hAnsi="仿宋_GB2312" w:cs="仿宋_GB2312" w:eastAsia="仿宋_GB2312"/>
              </w:rPr>
              <w:t xml:space="preserve"> 饰面安装：安装墙板饰面，注意墙板的拼接工艺和整体美观度，确保饰面无裂缝、无翘边等问题。</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（二）其他要求</w:t>
            </w:r>
            <w:r>
              <w:br/>
            </w:r>
            <w:r>
              <w:rPr>
                <w:rFonts w:ascii="仿宋_GB2312" w:hAnsi="仿宋_GB2312" w:cs="仿宋_GB2312" w:eastAsia="仿宋_GB2312"/>
              </w:rPr>
              <w:t xml:space="preserve"> 施工过程中要做好成品保护工作，避免对已完成的施工项目造成损坏。</w:t>
            </w:r>
            <w:r>
              <w:br/>
            </w:r>
            <w:r>
              <w:rPr>
                <w:rFonts w:ascii="仿宋_GB2312" w:hAnsi="仿宋_GB2312" w:cs="仿宋_GB2312" w:eastAsia="仿宋_GB2312"/>
              </w:rPr>
              <w:t xml:space="preserve"> 严格遵守施工现场的安全规定，做好安全防护措施，确保施工人员和学校师生的安全。</w:t>
            </w:r>
            <w:r>
              <w:br/>
            </w:r>
            <w:r>
              <w:rPr>
                <w:rFonts w:ascii="仿宋_GB2312" w:hAnsi="仿宋_GB2312" w:cs="仿宋_GB2312" w:eastAsia="仿宋_GB2312"/>
              </w:rPr>
              <w:t xml:space="preserve"> 按照规定的施工进度进行施工，确保项目按时交付使用。如有特殊情况需要调整进度，需提前向招标人提出申请并获得批准。</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七、环保要求</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1、材料环保</w:t>
            </w:r>
            <w:r>
              <w:br/>
            </w:r>
            <w:r>
              <w:rPr>
                <w:rFonts w:ascii="仿宋_GB2312" w:hAnsi="仿宋_GB2312" w:cs="仿宋_GB2312" w:eastAsia="仿宋_GB2312"/>
              </w:rPr>
              <w:t xml:space="preserve"> 粉刷涂料、油漆等应选用符合国家《室内装饰装修材料有害物质限量》相关标准的环保型产品，提供产品环保检测报告，确保挥发性有机化合物（VOC）、甲醛等有害物质释放量达标 ，避免施工后内空气污染，影响学生健康。</w:t>
            </w:r>
            <w:r>
              <w:br/>
            </w:r>
            <w:r>
              <w:rPr>
                <w:rFonts w:ascii="仿宋_GB2312" w:hAnsi="仿宋_GB2312" w:cs="仿宋_GB2312" w:eastAsia="仿宋_GB2312"/>
              </w:rPr>
              <w:t xml:space="preserve"> PVC 塑胶地板需满足国家规定的环保指标，不含邻苯二甲酸酯等有害增塑剂，提供相应的环保认证文件，保障铺设后室内环境安全。</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2、施工过程环保</w:t>
            </w:r>
            <w:r>
              <w:br/>
            </w:r>
            <w:r>
              <w:rPr>
                <w:rFonts w:ascii="仿宋_GB2312" w:hAnsi="仿宋_GB2312" w:cs="仿宋_GB2312" w:eastAsia="仿宋_GB2312"/>
              </w:rPr>
              <w:t xml:space="preserve"> 施工产生的粉尘、废弃物（如墙面铲除废料、地板拆除垃圾等）需及时清理、妥善处理。粉尘作业时应采取洒水降尘、封闭作业等措施，减少对校园环境及周边的污染。</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八、安全要求</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1、施工人员安全</w:t>
            </w:r>
            <w:r>
              <w:br/>
            </w:r>
            <w:r>
              <w:rPr>
                <w:rFonts w:ascii="仿宋_GB2312" w:hAnsi="仿宋_GB2312" w:cs="仿宋_GB2312" w:eastAsia="仿宋_GB2312"/>
              </w:rPr>
              <w:t xml:space="preserve"> 施工单位需为施工人员配备合格的个人防护用品，如安全帽、安全带（高空作业时）、防护手套、防尘口罩等，保障施工人员在作业过程中的人身安全。</w:t>
            </w:r>
            <w:r>
              <w:br/>
            </w:r>
            <w:r>
              <w:rPr>
                <w:rFonts w:ascii="仿宋_GB2312" w:hAnsi="仿宋_GB2312" w:cs="仿宋_GB2312" w:eastAsia="仿宋_GB2312"/>
              </w:rPr>
              <w:t xml:space="preserve"> 对施工人员进行安全培训与教育，使其熟悉施工安全操作规程，掌握消防、高空作业、电气作业等方面的安全知识，严禁违规操作。</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2、施工现场安全</w:t>
            </w:r>
            <w:r>
              <w:br/>
            </w:r>
            <w:r>
              <w:rPr>
                <w:rFonts w:ascii="仿宋_GB2312" w:hAnsi="仿宋_GB2312" w:cs="仿宋_GB2312" w:eastAsia="仿宋_GB2312"/>
              </w:rPr>
              <w:t xml:space="preserve"> 施工现场应设置明显的安全警示标志，如在楼梯口、通道口、高空作业区域等危险部位悬挂警示标识，提醒施工人员及过往人员注意安全。</w:t>
            </w:r>
            <w:r>
              <w:br/>
            </w:r>
            <w:r>
              <w:rPr>
                <w:rFonts w:ascii="仿宋_GB2312" w:hAnsi="仿宋_GB2312" w:cs="仿宋_GB2312" w:eastAsia="仿宋_GB2312"/>
              </w:rPr>
              <w:t xml:space="preserve"> 电气改造作业需严格遵守电气安全规范，施工前切断相关电源，做好绝缘防护，避免触电事故；高空作业（如顶面粉刷、灯具安装等）需搭建稳固的操作平台或脚手架，设置防护栏，防止坠落。</w:t>
            </w:r>
            <w:r>
              <w:br/>
            </w:r>
            <w:r>
              <w:rPr>
                <w:rFonts w:ascii="仿宋_GB2312" w:hAnsi="仿宋_GB2312" w:cs="仿宋_GB2312" w:eastAsia="仿宋_GB2312"/>
              </w:rPr>
              <w:t xml:space="preserve"> 改造施工期间，要做好施工区域与学生生活区域的隔离，避免施工干扰学生正常生活，同时防止学生误入施工危险区域。施工通道应保持畅通，不得堆放过多施工材料、设备，防止通道堵塞引发安全隐患。</w:t>
            </w:r>
            <w:r>
              <w:br/>
            </w:r>
            <w:r>
              <w:rPr>
                <w:rFonts w:ascii="仿宋_GB2312" w:hAnsi="仿宋_GB2312" w:cs="仿宋_GB2312" w:eastAsia="仿宋_GB2312"/>
              </w:rPr>
              <w:t xml:space="preserve"> 施工过程中需严格遵守消防安全规定，施工现场配备足够的消防器材（如灭火器），严禁在施工区域违规动火、吸烟，做好易燃材料（如油漆、涂料）的储存与管理，预防火灾事故发生。</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3、学生安全</w:t>
            </w:r>
            <w:r>
              <w:br/>
            </w:r>
            <w:r>
              <w:rPr>
                <w:rFonts w:ascii="仿宋_GB2312" w:hAnsi="仿宋_GB2312" w:cs="仿宋_GB2312" w:eastAsia="仿宋_GB2312"/>
              </w:rPr>
              <w:t xml:space="preserve"> 给排水改造、电气改造等施工完成后，需进行严格的质量检测与调试，确保给排水系统正常运行、电气系统安全可靠，避免漏水、漏电等问题影响学生后续出行安全。</w:t>
            </w:r>
            <w:r>
              <w:br/>
            </w:r>
            <w:r>
              <w:rPr>
                <w:rFonts w:ascii="仿宋_GB2312" w:hAnsi="仿宋_GB2312" w:cs="仿宋_GB2312" w:eastAsia="仿宋_GB2312"/>
              </w:rPr>
              <w:t xml:space="preserve"> 更换的钢质入户门需符合防盗、防火等安全标准，安装牢固，保障学生的门禁安全；储物柜、门窗等设施改造后应无尖锐边角、松动部件，防止对学生造成意外伤害 。</w:t>
            </w:r>
            <w:r>
              <w:br/>
            </w:r>
            <w:r>
              <w:rPr>
                <w:rFonts w:ascii="仿宋_GB2312" w:hAnsi="仿宋_GB2312" w:cs="仿宋_GB2312" w:eastAsia="仿宋_GB2312"/>
              </w:rPr>
              <w:t xml:space="preserve"> 施工完成后，对进行全面的清洁与通风，确保室内空气质量达标、无施工残留安全隐患后，方可交付学生使用。</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九、 其他要求</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1、噪音控制: 施工时间应严格遵守学校规定，避免在学生休息时间(特别是夜间和午休)进行高噪音作业。采取必要降噪措施。</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2、工期: 制定合理的施工进度计划，确保按期完工，尽量减少对学生住宿的影响。</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3、沟通协调: 施工单位应与学校后勤管理部门、宿管人员保持密切沟通，及时通报施工进展和需要协调事项。</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4、现场要求：承包人配合发包人做好上级政府职能部门的各项检查，按规定办理好有关施工场地环境保护、安全生产和施工噪音、围挡等手续，所有此类费用已经包含在合同价款中，发包人不再单独计量支付；如承包人未按本约定及时办理上述手续，所造成的相关行政主管部门的处罚由承包人承担，如给发包人造成损失的，同时应赔偿由此给发包人造成的一切损失。</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5、安全要求：承包人进场前需购买相关保险，负责项目实施过程中的各项安全责任和承包人人员以及第三人的安全，造成的人员受伤或者死亡，承包人承担全部责任，对于项目实施过程中由于承包人原因造成的发包人设施设备的损坏，承包人负责修复并赔偿对发包人造成的损失。</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6、竣工验收：交工后，发包人组织校内相关部门预验收，预验收通过后发包人组织校内工程联合验收，最终工程验收通过后进入支付程序。</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7、其他说明:</w:t>
            </w:r>
            <w:r>
              <w:br/>
            </w:r>
            <w:r>
              <w:rPr>
                <w:rFonts w:ascii="仿宋_GB2312" w:hAnsi="仿宋_GB2312" w:cs="仿宋_GB2312" w:eastAsia="仿宋_GB2312"/>
              </w:rPr>
              <w:t xml:space="preserve"> （1）请承包人根据本项目具体情况(建筑年代、结构形式、原有设施状况、具体设计方案)对本规范进行细化和调整。</w:t>
            </w:r>
            <w:r>
              <w:br/>
            </w:r>
            <w:r>
              <w:rPr>
                <w:rFonts w:ascii="仿宋_GB2312" w:hAnsi="仿宋_GB2312" w:cs="仿宋_GB2312" w:eastAsia="仿宋_GB2312"/>
              </w:rPr>
              <w:t xml:space="preserve"> （2）本规范侧重于施工过程的质量控制和关键要求。具体的设计细节(如瓷砖颜色、隔断样式、灯具款式.具体尺寸等)见设计图纸。</w:t>
            </w:r>
            <w:r>
              <w:br/>
            </w:r>
            <w:r>
              <w:rPr>
                <w:rFonts w:ascii="仿宋_GB2312" w:hAnsi="仿宋_GB2312" w:cs="仿宋_GB2312" w:eastAsia="仿宋_GB2312"/>
              </w:rPr>
              <w:t xml:space="preserve"> （3）未述及的按国家有关规范执行。</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十、商务要求</w:t>
            </w:r>
          </w:p>
        </w:tc>
      </w:tr>
      <w:tr>
        <w:tc>
          <w:tcPr>
            <w:tcW w:type="dxa" w:w="2769"/>
          </w:tcPr>
          <w:p>
            <w:pPr>
              <w:pStyle w:val="null3"/>
            </w:pPr>
            <w:r>
              <w:rPr>
                <w:rFonts w:ascii="仿宋_GB2312" w:hAnsi="仿宋_GB2312" w:cs="仿宋_GB2312" w:eastAsia="仿宋_GB2312"/>
              </w:rPr>
              <w:t>37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1、付款方式：见合同文本</w:t>
            </w:r>
          </w:p>
        </w:tc>
      </w:tr>
      <w:tr>
        <w:tc>
          <w:tcPr>
            <w:tcW w:type="dxa" w:w="2769"/>
          </w:tcPr>
          <w:p>
            <w:pPr>
              <w:pStyle w:val="null3"/>
            </w:pPr>
            <w:r>
              <w:rPr>
                <w:rFonts w:ascii="仿宋_GB2312" w:hAnsi="仿宋_GB2312" w:cs="仿宋_GB2312" w:eastAsia="仿宋_GB2312"/>
              </w:rPr>
              <w:t>38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2、工程地点：陕西省西安爱知中学</w:t>
            </w:r>
          </w:p>
        </w:tc>
      </w:tr>
      <w:tr>
        <w:tc>
          <w:tcPr>
            <w:tcW w:type="dxa" w:w="2769"/>
          </w:tcPr>
          <w:p>
            <w:pPr>
              <w:pStyle w:val="null3"/>
            </w:pPr>
            <w:r>
              <w:rPr>
                <w:rFonts w:ascii="仿宋_GB2312" w:hAnsi="仿宋_GB2312" w:cs="仿宋_GB2312" w:eastAsia="仿宋_GB2312"/>
              </w:rPr>
              <w:t>39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3、人员配置：满足本项目施工。</w:t>
            </w:r>
          </w:p>
        </w:tc>
      </w:tr>
      <w:tr>
        <w:tc>
          <w:tcPr>
            <w:tcW w:type="dxa" w:w="2769"/>
          </w:tcPr>
          <w:p>
            <w:pPr>
              <w:pStyle w:val="null3"/>
            </w:pPr>
            <w:r>
              <w:rPr>
                <w:rFonts w:ascii="仿宋_GB2312" w:hAnsi="仿宋_GB2312" w:cs="仿宋_GB2312" w:eastAsia="仿宋_GB2312"/>
              </w:rPr>
              <w:t>40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4、质量保证期：见合同文本。</w:t>
            </w:r>
          </w:p>
        </w:tc>
      </w:tr>
      <w:tr>
        <w:tc>
          <w:tcPr>
            <w:tcW w:type="dxa" w:w="2769"/>
          </w:tcPr>
          <w:p>
            <w:pPr>
              <w:pStyle w:val="null3"/>
            </w:pPr>
            <w:r>
              <w:rPr>
                <w:rFonts w:ascii="仿宋_GB2312" w:hAnsi="仿宋_GB2312" w:cs="仿宋_GB2312" w:eastAsia="仿宋_GB2312"/>
              </w:rPr>
              <w:t>41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5、验收标准：达到国家现行行业施工验收规范“合格”标准。</w:t>
            </w:r>
          </w:p>
        </w:tc>
      </w:tr>
      <w:tr>
        <w:tc>
          <w:tcPr>
            <w:tcW w:type="dxa" w:w="2769"/>
          </w:tcPr>
          <w:p>
            <w:pPr>
              <w:pStyle w:val="null3"/>
            </w:pPr>
            <w:r>
              <w:rPr>
                <w:rFonts w:ascii="仿宋_GB2312" w:hAnsi="仿宋_GB2312" w:cs="仿宋_GB2312" w:eastAsia="仿宋_GB2312"/>
              </w:rPr>
              <w:t>42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6、违约责任：见合同文本。</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国家或行业现有执行标准。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1、供应商需在项目电子化交易系统中按要求填写《响应函》完成承诺并进行电子签章。 2、具有独立承担民事责任的能力。提供注册登记凭证（营业执照、其他组织经营的合法凭证，自然人的提供身份证明文件），供应商需在项目电子化交易系统中按要求上传相应证明文件并进行电子签章。 3、具有良好的商业信誉和健全的财务会计制度。提供经第三方审计的2024年度财务报告（包括四表一注，即资产负债表、利润表、现金流量表、所有者权益变动表及其附注），且无反对意见（或无保留意见）；事业法人提供部门决算报告；/或在磋商响应文件递交截止时间前六个月内其基本开户银行出具的资信证明（附《基本存款账户信息》或《银行开户许可证》）；/或财政部门认可的政府采购专业担保机构出具的投标担保函；/或表明具有良好的商业信誉和健全的财务会计制度的诚信声明；以上四种形式的资料提供任何一种即可，供应商需在项目电子化交易系统中按要求上传相应证明文件并进行电子签章。 4、具有履行合同所必需的设备和专业技术能力。提供声明文件，供应商需在项目电子化交易系统中按要求上传相应证明文件并进行电子签章。 5、具有依法缴纳税收的良好记录。提供缴费所属日期为磋商响应文件递交截止时间前6个月内任一月份（磋商响应文件递交截止时间当月不计入）的增值税（或所得税）缴费凭据或税务机关出具的完税证明/在法规范围内不需提供的应出具书面说明和证明文件；/或具有依法缴纳税收的诚信声明；以上二种形式的资料提供任何一种即可，供应商需在项目电子化交易系统中按要求上传相应证明文件并进行电子签章。 6、具有依法缴纳社会保障资金的良好记录。提供缴费所属日期为磋商响应文件递交截止时间前6个月内任一月份（磋商响应文件递交截止时间当月不计入）的缴费凭据或社保机关出具的缴费证明/在法规范围内不需提供的应出具书面说明和证明文件；/或具有依法缴纳社会保障资金的缴纳记录的诚信声明；以上二种形式的资料提供任何一种即可，供应商需在项目电子化交易系统中按要求上传相应证明文件并进行电子签章。 7、参加政府采购活动前3年内在经营活动中没有重大违法记录的书面声明，供应商需在项目电子化交易系统中按要求上传相应证明文件并进行电子签章。 8、 法定代表人授权委托书或法定代表人证明书。法定代表人授权委托书（被授权代表参加）或法定代表人证明书（法定代表人直接参加），供应商需在项目电子化交易系统中按要求上传相应证明文件并进行电子签章。 9、不接受联合体。提供非联合体投标声明函，供应商需在项目电子化交易系统中按要求上传相应证明文件并进行电子签章。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第三方审计的2024年度财务报告（包括四表一注，即资产负债表、利润表、现金流量表、所有者权益变动表及其附注），且无反对意见（或无保留意见）；事业法人提供部门决算报告；/或在磋商响应文件递交截止时间前六个月内其基本开户银行出具的资信证明（附《基本存款账户信息》或《银行开户许可证》）；/或财政部门认可的政府采购专业担保机构出具的投标担保函；/或表明具有良好的商业信誉和健全的财务会计制度的诚信声明；以上四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供应商施工资质要求</w:t>
            </w:r>
          </w:p>
        </w:tc>
        <w:tc>
          <w:tcPr>
            <w:tcW w:type="dxa" w:w="3322"/>
          </w:tcPr>
          <w:p>
            <w:pPr>
              <w:pStyle w:val="null3"/>
            </w:pPr>
            <w:r>
              <w:rPr>
                <w:rFonts w:ascii="仿宋_GB2312" w:hAnsi="仿宋_GB2312" w:cs="仿宋_GB2312" w:eastAsia="仿宋_GB2312"/>
              </w:rPr>
              <w:t>供应商须持有建筑装修装饰工程专业承包二级或以上资质证书，及有效的安全生产许可证；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拟派项目经理须具备建筑工程专业二级或以上注册建造师执业资格，及有效的安全生产考核合格证书，且未担任其他在建工程项目的项目经理（提供承诺书）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建筑企业信息查询</w:t>
            </w:r>
          </w:p>
        </w:tc>
        <w:tc>
          <w:tcPr>
            <w:tcW w:type="dxa" w:w="3322"/>
          </w:tcPr>
          <w:p>
            <w:pPr>
              <w:pStyle w:val="null3"/>
            </w:pPr>
            <w:r>
              <w:rPr>
                <w:rFonts w:ascii="仿宋_GB2312" w:hAnsi="仿宋_GB2312" w:cs="仿宋_GB2312" w:eastAsia="仿宋_GB2312"/>
              </w:rPr>
              <w:t>供应商及项目经理信息在“陕西省建筑市场监管与诚信信息发布平台”可查询。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磋商响应文件是否按照磋商文件要求的格式编写</w:t>
            </w:r>
          </w:p>
        </w:tc>
        <w:tc>
          <w:tcPr>
            <w:tcW w:type="dxa" w:w="1661"/>
          </w:tcPr>
          <w:p>
            <w:pPr>
              <w:pStyle w:val="null3"/>
            </w:pPr>
            <w:r>
              <w:rPr>
                <w:rFonts w:ascii="仿宋_GB2312" w:hAnsi="仿宋_GB2312" w:cs="仿宋_GB2312" w:eastAsia="仿宋_GB2312"/>
              </w:rPr>
              <w:t>响应文件封面 供应商应提交的相关资格证明材料.docx 主要材料表.docx 节能、环保产品相关证明材料.docx 报价函 供应商同类项目业绩证明材料.docx 标的清单 响应函 商务及技术偏离表.docx 强制优先采购产品承诺函 磋商响应方案说明书.docx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1、磋商响应文件的签署、加盖印章是否有效； 2、提供的各种证明文件、数据、资料是否有效。</w:t>
            </w:r>
          </w:p>
        </w:tc>
        <w:tc>
          <w:tcPr>
            <w:tcW w:type="dxa" w:w="1661"/>
          </w:tcPr>
          <w:p>
            <w:pPr>
              <w:pStyle w:val="null3"/>
            </w:pPr>
            <w:r>
              <w:rPr>
                <w:rFonts w:ascii="仿宋_GB2312" w:hAnsi="仿宋_GB2312" w:cs="仿宋_GB2312" w:eastAsia="仿宋_GB2312"/>
              </w:rPr>
              <w:t>响应文件封面 供应商应提交的相关资格证明材料.docx 报价函 供应商同类项目业绩证明材料.docx 标的清单 响应函 商务及技术偏离表.docx 强制优先采购产品承诺函 磋商响应方案说明书.docx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1、磋商报价是否超过采购预算、最高限价； 2、磋商报价有效期是否符合磋商文件的要求； 3、响应文件内容是否符合国家法律法规； 4、是否响应实质性条款。</w:t>
            </w:r>
          </w:p>
        </w:tc>
        <w:tc>
          <w:tcPr>
            <w:tcW w:type="dxa" w:w="1661"/>
          </w:tcPr>
          <w:p>
            <w:pPr>
              <w:pStyle w:val="null3"/>
            </w:pPr>
            <w:r>
              <w:rPr>
                <w:rFonts w:ascii="仿宋_GB2312" w:hAnsi="仿宋_GB2312" w:cs="仿宋_GB2312" w:eastAsia="仿宋_GB2312"/>
              </w:rPr>
              <w:t>响应文件封面 供应商应提交的相关资格证明材料.docx 节能、环保产品相关证明材料.docx 报价函 供应商同类项目业绩证明材料.docx 标的清单 响应函 商务及技术偏离表.docx 强制优先采购产品承诺函 磋商响应方案说明书.docx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提供针对本项目的项目实施方案及措施进行综合评审。 A.实施方案完整详细、有针对性，完全满足项目实施，具有优化建议的得[8-10]分； B.实施方案完整，可行，有针对性，能满足项目实施的全部要求的得[5-8）分； C.实施方案有较大缺陷，或完全套用其他项目且内容较少的得[2-5）分; D.实施方案存在不利于采购人安全作业要求实现的，得（0-2）分。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提供针对本项目提供具体的安全作业方案及安全配套措施进行综合评审。 A.提供具体详细、有针对性的安全作业方案及安全配套措施，完全符合采购人安全作业要求且具有优化建议的，得[8-10]分； B.提供安全作业方案及安全配套措施，符合采购人安全作业的要求，得[5-8）分； C.提供的安全作业方案及安全配套措施非专门针对本项目，套用其他项目内容，存在逻辑漏洞或前后内容不一致的得[2-5）分； D.提供的安全作业方案及安全配套措施简陋，存在不利于采购人安全作业要求实现的，得（0-2）分。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A.措施计划详细齐全、合理且切实可行，完全满足采购人需求，具有优化建议的得[8-10]分； B.措施计划齐全、合理、切实可行，满足采购人需求得[5-8）分； C.措施计划非专门针对本项目，存在逻辑漏洞或前后内容不一致的得[2-5）分；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提供针对本项目的文明施工措施计划进行综合评审。 A.措施计划详细齐全、合理且切实可行，完全满足采购人需求，具有优化建议的得[2-3]分； B.措施计划齐全、合理、切实可行，满足采购人需求得[1-2）分； C.措施计划非专门针对本项目，存在逻辑漏洞或前后内容不一致的得[0-1）分； D.措施计划有较大缺陷，或完全套用其他项目且内容较少，或未提供的得0分；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提供针对本项目的项目组织管理机构配备进行综合评审。 A.机构设置合理完善，人员配备齐全，技术经验丰富，人员专业性强，完全满足项目需求得[4-5]分； B.机构设置合理，人员配备齐全，且具备从业经验，满足项目需求得[3-4）分； C.机构设置非专门针对本项目，人员配备、技术经验有缺陷的得[1-3）分； D.机构设置、人员配备不完整，或无相关经验的得（0-1）分； E.未提供得0分。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根据供应商投入的施工机械配备和材料投入计划等进行评审。 A.施工机械配备合理并提供设备来源证明材料，证明材料齐全且投入材料环保性优于国家标准的得[4-5]分； B.施工机械配备合理和材料环保性较好，提供了设备来源证明材料的得[2-4）分； C.施工机械配备和材料投入计划基本合理、可行，但未提供其他证明材料的得（0-2）分； D.未提供得0分。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根据供应商就本项目劳动力安排计划及劳务分包情况表，根据合理、可行程度进行评审。 A.劳动力安排计划及劳务分包完整、合理、可行，有利于本项目实施的得[1-2]分； B.劳动力安排计划及劳务分包合理、可行的，基本能满足项目实施的得（0-1）分； C.劳动力安排计划及劳务分包可行性较差，存在缺陷或未提供的得0分。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主要材料要求</w:t>
            </w:r>
          </w:p>
        </w:tc>
        <w:tc>
          <w:tcPr>
            <w:tcW w:type="dxa" w:w="2492"/>
          </w:tcPr>
          <w:p>
            <w:pPr>
              <w:pStyle w:val="null3"/>
            </w:pPr>
            <w:r>
              <w:rPr>
                <w:rFonts w:ascii="仿宋_GB2312" w:hAnsi="仿宋_GB2312" w:cs="仿宋_GB2312" w:eastAsia="仿宋_GB2312"/>
              </w:rPr>
              <w:t>供应商提供针对本项目提供主要材料清单（清单内容包括但不限于材料名称、品牌、规格、技术参数等）。 A、主要材料配备合理并提供来源证明材料，证明材料齐全且投入材料环保性优于国家标准的计[7-10]分； B、主要材料配备齐全、合理，材料环保性符合国家标准，提供了来源证明材料的计[4-7）分； C、主要材料配备和材料投入计划存在逻辑漏洞或前后内容不一致计（0-4）分； D、未提供得0分。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主要材料表.docx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供应商投入本项目所使用的施工主要材料中的产品属于政府采购优先采购范围的，则每有一项为节能产品或者环境标志产品的得0.5分，非节能、环境标志产品的不得分。本项最多得2分。 注：属于优先采购范围内的节能产品或者环境标志产品的，提供国家确定的认证机构出具的、处于有效期之内的节能产品、环境标志产品认证证书复印件加盖供应商公章（鲜章）。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节能、环保产品相关证明材料.docx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提供供应商2022年1月至磋商截止时间前同类施工项目业绩；每提供1份计2分，最高得8分。提供合同复印件为准。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供应商同类项目业绩证明材料.docx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1、磋商报价得分=（磋商基准价/最后磋商评审价）×35分。磋商基准价=各供应商的最后报价中经评审的最低价。 2、超出最高限价的报价为无效报价。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详见附件：节能、环保产品相关证明材料.docx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详见附件：主要材料表.docx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详见附件：供应商同类项目业绩证明材料.docx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