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54FEB">
      <w:pPr>
        <w:pStyle w:val="3"/>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资格证明文件</w:t>
      </w:r>
    </w:p>
    <w:p w14:paraId="517AA747">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3972552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一、满足《中华人民共和国政府采购法》第二十二条规定：</w:t>
      </w:r>
    </w:p>
    <w:p w14:paraId="3C6D2EC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1、供应商应具有独立承担民事责任的能力的企业法人、事业法人、其他组织或自然人，出具合法有效的营业执照或事业单位法人证书等国家规定的相关证明，自然人参与的提供其身份证明； </w:t>
      </w:r>
    </w:p>
    <w:p w14:paraId="39DD4D9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财务状况报告：提供经审计的2024年度的财务报告（包括“四表一注”，即资产负债表、利润表、现金流量表、所有者权益变动表及其附注，成立时间至提交投标文件截止时间不足一年的可提供成立后任意时段的资产负债表、利润表、现金流量表、所有者权益变动表）或提交投标文件截止时间前六个月内其基本账户开户银行出具的资信证明及基本存款账户信息；其他组织和自然人提供银行出具的资信证明或财务报表；</w:t>
      </w:r>
    </w:p>
    <w:p w14:paraId="057BEB2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3、税收缴纳证明：提供供应商2024年8月至今已缴纳任意一个月完税凭证或税务机关开具的完税证明（时间以税款所属日期为准，凭据应有税务机关或代收机关的公章或业务专用章）；依法免税的应提供税务机关开具的免税证明；                 </w:t>
      </w:r>
    </w:p>
    <w:p w14:paraId="3C227B4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4、社会保障资金缴纳证明：提供供应商2024年8月至今已缴存的任意一个月的社会保障资金缴存单据或社保机构开具的社会保险参保缴费情况证明；依法不需要缴纳社会保障资金的应提供社保机构开具的免缴证明；</w:t>
      </w:r>
      <w:r>
        <w:rPr>
          <w:rFonts w:hint="default" w:ascii="宋体" w:hAnsi="宋体" w:eastAsia="宋体" w:cs="宋体"/>
          <w:color w:val="auto"/>
          <w:sz w:val="24"/>
          <w:szCs w:val="24"/>
          <w:highlight w:val="none"/>
          <w:lang w:val="en-US" w:eastAsia="zh-CN"/>
        </w:rPr>
        <w:t xml:space="preserve"> </w:t>
      </w:r>
    </w:p>
    <w:p w14:paraId="1DE9F75A">
      <w:pPr>
        <w:keepNext w:val="0"/>
        <w:keepLines w:val="0"/>
        <w:pageBreakBefore w:val="0"/>
        <w:widowControl/>
        <w:kinsoku/>
        <w:wordWrap/>
        <w:overflowPunct/>
        <w:topLinePunct w:val="0"/>
        <w:autoSpaceDE/>
        <w:autoSpaceDN/>
        <w:bidi w:val="0"/>
        <w:adjustRightInd/>
        <w:snapToGrid/>
        <w:spacing w:line="500" w:lineRule="exact"/>
        <w:ind w:left="480" w:leftChars="200"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5、参加政府采购活动前3年内在经营活动中没有重大违法记录的书面声明； 6、具有履行合同所必需的设备和专业</w:t>
      </w:r>
      <w:bookmarkStart w:id="2" w:name="_GoBack"/>
      <w:bookmarkEnd w:id="2"/>
      <w:r>
        <w:rPr>
          <w:rFonts w:hint="eastAsia" w:ascii="宋体" w:hAnsi="宋体" w:eastAsia="宋体" w:cs="宋体"/>
          <w:color w:val="auto"/>
          <w:sz w:val="24"/>
          <w:szCs w:val="24"/>
          <w:highlight w:val="none"/>
          <w:lang w:val="en-US" w:eastAsia="zh-CN"/>
        </w:rPr>
        <w:t>技术能力的承诺函；</w:t>
      </w:r>
      <w:r>
        <w:rPr>
          <w:rFonts w:hint="default" w:ascii="宋体" w:hAnsi="宋体" w:eastAsia="宋体" w:cs="宋体"/>
          <w:color w:val="auto"/>
          <w:sz w:val="24"/>
          <w:szCs w:val="24"/>
          <w:highlight w:val="none"/>
          <w:lang w:val="en-US" w:eastAsia="zh-CN"/>
        </w:rPr>
        <w:t xml:space="preserve"> </w:t>
      </w:r>
    </w:p>
    <w:p w14:paraId="77F2AC1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、本项目的特定资格要求：</w:t>
      </w:r>
      <w:bookmarkStart w:id="0" w:name="_Toc3731"/>
      <w:bookmarkStart w:id="1" w:name="_Toc5736"/>
    </w:p>
    <w:p w14:paraId="7A33ECB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Times New Roman" w:cs="宋体"/>
          <w:color w:val="auto"/>
          <w:sz w:val="24"/>
          <w:lang w:val="en-US" w:eastAsia="zh-CN"/>
        </w:rPr>
      </w:pPr>
      <w:r>
        <w:rPr>
          <w:rFonts w:hint="eastAsia" w:ascii="宋体" w:hAnsi="宋体" w:eastAsia="宋体" w:cs="宋体"/>
          <w:color w:val="auto"/>
          <w:sz w:val="24"/>
          <w:szCs w:val="24"/>
          <w:highlight w:val="none"/>
          <w:lang w:val="en-US" w:eastAsia="zh-CN"/>
        </w:rPr>
        <w:t>供应商未被列为“信用中国”网站（www.creditchina.gov.cn）中失信被执行人和重大税收违法案件当事人名单及中国政府采购网（www.ccgp.gov.cn）政府采购严重违法失信行为记录名单。</w:t>
      </w:r>
    </w:p>
    <w:p w14:paraId="36AC7C92">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5425BEB6">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567EAB93">
      <w:pPr>
        <w:widowControl/>
        <w:shd w:val="clear" w:color="auto" w:fill="FFFFFF"/>
        <w:spacing w:before="100" w:beforeAutospacing="1" w:after="100" w:afterAutospacing="1" w:line="360" w:lineRule="atLeast"/>
        <w:outlineLvl w:val="2"/>
        <w:rPr>
          <w:rFonts w:hint="eastAsia" w:ascii="宋体" w:hAnsi="宋体" w:eastAsia="宋体" w:cs="宋体"/>
          <w:b/>
          <w:color w:val="auto"/>
          <w:szCs w:val="21"/>
          <w:highlight w:val="none"/>
        </w:rPr>
      </w:pPr>
      <w:r>
        <w:rPr>
          <w:rFonts w:hint="eastAsia" w:ascii="宋体" w:hAnsi="宋体" w:eastAsia="Times New Roman" w:cs="宋体"/>
          <w:color w:val="auto"/>
          <w:sz w:val="24"/>
          <w:lang w:val="en-US" w:eastAsia="zh-CN"/>
        </w:rPr>
        <w:t>格式1</w:t>
      </w:r>
      <w:bookmarkEnd w:id="0"/>
      <w:bookmarkEnd w:id="1"/>
    </w:p>
    <w:p w14:paraId="18D517AF">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无重大违法记录声明</w:t>
      </w:r>
    </w:p>
    <w:p w14:paraId="6C21360A">
      <w:pPr>
        <w:pStyle w:val="4"/>
        <w:spacing w:after="0" w:line="400" w:lineRule="exact"/>
        <w:rPr>
          <w:rFonts w:hint="eastAsia" w:ascii="宋体" w:hAnsi="宋体" w:eastAsia="宋体" w:cs="宋体"/>
          <w:color w:val="auto"/>
          <w:highlight w:val="none"/>
          <w:lang w:val="en-US" w:eastAsia="zh-CN"/>
        </w:rPr>
      </w:pPr>
    </w:p>
    <w:p w14:paraId="302C2671">
      <w:pPr>
        <w:pStyle w:val="4"/>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p>
    <w:p w14:paraId="3F67E2D8">
      <w:pPr>
        <w:pStyle w:val="4"/>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1AE02039">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7C3635DF">
      <w:pPr>
        <w:pStyle w:val="4"/>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p>
    <w:p w14:paraId="3EF9C97F">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58EF6AE7">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1698035B">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CE2D481">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5F2B9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6FBF25E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rPr>
        <w:tab/>
      </w:r>
    </w:p>
    <w:p w14:paraId="463E7CA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33890C31">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268070DF">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2327ACA">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7D47E4B8">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1229C0CF">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11B4A79A">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337BB0"/>
    <w:rsid w:val="09D365F8"/>
    <w:rsid w:val="0A8B3CFE"/>
    <w:rsid w:val="1DBC6B98"/>
    <w:rsid w:val="24D45928"/>
    <w:rsid w:val="3C0F14B4"/>
    <w:rsid w:val="3CD96115"/>
    <w:rsid w:val="3D6459C5"/>
    <w:rsid w:val="3EF83117"/>
    <w:rsid w:val="4258198D"/>
    <w:rsid w:val="460A25C4"/>
    <w:rsid w:val="69216AF4"/>
    <w:rsid w:val="698A3CE2"/>
    <w:rsid w:val="6CA7296E"/>
    <w:rsid w:val="72DF0419"/>
    <w:rsid w:val="77254BB0"/>
    <w:rsid w:val="78DD0CBF"/>
    <w:rsid w:val="7D64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ahoma" w:hAnsi="Tahoma"/>
    </w:rPr>
  </w:style>
  <w:style w:type="paragraph" w:styleId="5">
    <w:name w:val="Body Text 2"/>
    <w:basedOn w:val="1"/>
    <w:qFormat/>
    <w:uiPriority w:val="0"/>
    <w:pPr>
      <w:spacing w:line="440" w:lineRule="exact"/>
    </w:pPr>
    <w:rPr>
      <w:rFonts w:ascii="宋体" w:hAnsi="宋体"/>
      <w:color w:val="00000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1006</Words>
  <Characters>1050</Characters>
  <Lines>0</Lines>
  <Paragraphs>0</Paragraphs>
  <TotalTime>11</TotalTime>
  <ScaleCrop>false</ScaleCrop>
  <LinksUpToDate>false</LinksUpToDate>
  <CharactersWithSpaces>1139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2024-06-07T03:21:00Z</dcterms:created>
  <dc:creator>47393</dc:creator>
  <cp:lastModifiedBy>快乐猫</cp:lastModifiedBy>
  <dcterms:modified xsi:type="dcterms:W3CDTF">2025-08-29T03:46:10Z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EC195F069092482C9813E9956C048771_13</vt:lpwstr>
  </property>
  <property fmtid="{D5CDD505-2E9C-101B-9397-08002B2CF9AE}" pid="4" name="KSOTemplateDocerSaveRecord">
    <vt:lpwstr>eyJoZGlkIjoiM2NmYTlkNmQyOWE5NjNjOWY3Y2ZiMGFkYTc1MDQ4YzciLCJ1c2VySWQiOiIxNTE3ODQyNzU3In0=</vt:lpwstr>
  </property>
</Properties>
</file>