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版本号：DRZB2025-ZC-13820250828001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陕西法院“一张网”数据迁移服务项目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DRZB2025-ZC-138</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陕西法院“一张网”数据迁移服务项目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陕西法院“一张网”数据迁移服务项目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陕西法院“一张网”数据迁移服务项目，具体详见招标文件及内容。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承诺：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陕西省高级人民法院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采购包1保证金金额：59,138.00元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采购代理机构按照《国家发展改革委关于进一步放开建设项目专业服务价格的通知》发改价格〔2015〕299号的要求，参照原计价格〔2002〕1980号文、发改价格〔2011〕534号文件的计费标准，以中标(成交)价为基数计算，按照标准收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陕西法院“一张网”数据迁移服务项目，具体详见招标文件及内容。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陕西法院“一张网”数据迁移服务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标的名称：陕西法院“一张网”数据迁移服务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jc w:val="both"/>
              <w:outlineLvl w:val="1"/>
            </w:pP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项目背景</w:t>
            </w:r>
          </w:p>
          <w:p>
            <w:pPr>
              <w:pStyle w:val="null3"/>
              <w:ind w:firstLine="400"/>
              <w:jc w:val="both"/>
            </w:pPr>
            <w:r>
              <w:rPr>
                <w:rFonts w:ascii="仿宋_GB2312" w:hAnsi="仿宋_GB2312" w:cs="仿宋_GB2312" w:eastAsia="仿宋_GB2312"/>
                <w:sz w:val="21"/>
              </w:rPr>
              <w:t>为贯彻落实最高人民法院党组和张军院长关于全国法院“一张网”平台建设工作的部署要求，有序推进“一张网”平台相关工作在陕西法院落地落实，结合陕西数字法院建设实际，依据《全国法院“一张网”建设各省数据迁移方案工作指引》要求，遵循“数据完整准确、数据规范处理、数据安全处理、本地业务保障”的数据迁移原则，完成相应数据迁移工作。</w:t>
            </w:r>
          </w:p>
          <w:p>
            <w:pPr>
              <w:pStyle w:val="null3"/>
              <w:jc w:val="both"/>
              <w:outlineLvl w:val="1"/>
            </w:pPr>
            <w:r>
              <w:rPr>
                <w:rFonts w:ascii="仿宋_GB2312" w:hAnsi="仿宋_GB2312" w:cs="仿宋_GB2312" w:eastAsia="仿宋_GB2312"/>
                <w:sz w:val="21"/>
                <w:b/>
                <w:shd w:fill="FFFFFF" w:val="clear"/>
              </w:rPr>
              <w:t>2</w:t>
            </w:r>
            <w:r>
              <w:rPr>
                <w:rFonts w:ascii="仿宋_GB2312" w:hAnsi="仿宋_GB2312" w:cs="仿宋_GB2312" w:eastAsia="仿宋_GB2312"/>
                <w:sz w:val="21"/>
                <w:b/>
                <w:shd w:fill="FFFFFF" w:val="clear"/>
              </w:rPr>
              <w:t>迁移范围</w:t>
            </w:r>
          </w:p>
          <w:p>
            <w:pPr>
              <w:pStyle w:val="null3"/>
              <w:ind w:firstLine="400"/>
              <w:jc w:val="both"/>
            </w:pPr>
            <w:r>
              <w:rPr>
                <w:rFonts w:ascii="仿宋_GB2312" w:hAnsi="仿宋_GB2312" w:cs="仿宋_GB2312" w:eastAsia="仿宋_GB2312"/>
                <w:sz w:val="21"/>
              </w:rPr>
              <w:t>本次迁移涉及陕西全省法院包含以下18个业务场景，包括1.用户中心（人事）、2.流程中心、3.执行（含点对点）、4.诉服、5.排期、6.费款、7.电子卷宗（含文书）、8.审判（含减刑假释）、9.“四类”案件、10.司法技术、11.案件评查、12.信访、13.行政办公（含办文、办会、工作督办）、14.档案、15.送达、16.政法协同、17.人民陪审员、18.阅核业务数据。</w:t>
            </w:r>
          </w:p>
          <w:p>
            <w:pPr>
              <w:pStyle w:val="null3"/>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技术服务要求</w:t>
            </w:r>
          </w:p>
          <w:p>
            <w:pPr>
              <w:pStyle w:val="null3"/>
              <w:jc w:val="both"/>
              <w:outlineLvl w:val="1"/>
            </w:pP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总体要求</w:t>
            </w:r>
          </w:p>
          <w:p>
            <w:pPr>
              <w:pStyle w:val="null3"/>
              <w:ind w:firstLine="400"/>
              <w:jc w:val="both"/>
            </w:pPr>
            <w:r>
              <w:rPr>
                <w:rFonts w:ascii="仿宋_GB2312" w:hAnsi="仿宋_GB2312" w:cs="仿宋_GB2312" w:eastAsia="仿宋_GB2312"/>
                <w:sz w:val="21"/>
              </w:rPr>
              <w:t>（1）根据全国法院“一张网”平台建设要求，需要将业务数据从原有业务系统导出</w:t>
            </w:r>
            <w:r>
              <w:rPr>
                <w:rFonts w:ascii="仿宋_GB2312" w:hAnsi="仿宋_GB2312" w:cs="仿宋_GB2312" w:eastAsia="仿宋_GB2312"/>
                <w:sz w:val="21"/>
              </w:rPr>
              <w:t>，统一导入至“一张网”平台中，迁移之后的数据需保证完整、准确、可用。</w:t>
            </w:r>
          </w:p>
          <w:p>
            <w:pPr>
              <w:pStyle w:val="null3"/>
              <w:ind w:firstLine="400"/>
              <w:jc w:val="both"/>
            </w:pPr>
            <w:r>
              <w:rPr>
                <w:rFonts w:ascii="仿宋_GB2312" w:hAnsi="仿宋_GB2312" w:cs="仿宋_GB2312" w:eastAsia="仿宋_GB2312"/>
                <w:sz w:val="21"/>
              </w:rPr>
              <w:t>（2）数据迁移服务需满足《全国法院“一张网”数据迁移技术规范》要求。</w:t>
            </w:r>
          </w:p>
          <w:p>
            <w:pPr>
              <w:pStyle w:val="null3"/>
              <w:ind w:firstLine="400"/>
              <w:jc w:val="both"/>
            </w:pPr>
            <w:r>
              <w:rPr>
                <w:rFonts w:ascii="仿宋_GB2312" w:hAnsi="仿宋_GB2312" w:cs="仿宋_GB2312" w:eastAsia="仿宋_GB2312"/>
                <w:sz w:val="21"/>
              </w:rPr>
              <w:t>（3）投标人需对项目的背景、现状、目标及风险进行全面分析，并提出具体的防控措施，以确保项目顺利实施。</w:t>
            </w:r>
          </w:p>
          <w:p>
            <w:pPr>
              <w:pStyle w:val="null3"/>
              <w:jc w:val="both"/>
              <w:outlineLvl w:val="1"/>
            </w:pPr>
            <w:r>
              <w:rPr>
                <w:rFonts w:ascii="仿宋_GB2312" w:hAnsi="仿宋_GB2312" w:cs="仿宋_GB2312" w:eastAsia="仿宋_GB2312"/>
                <w:sz w:val="21"/>
                <w:b/>
                <w:shd w:fill="FFFFFF" w:val="clear"/>
              </w:rPr>
              <w:t>2</w:t>
            </w:r>
            <w:r>
              <w:rPr>
                <w:rFonts w:ascii="仿宋_GB2312" w:hAnsi="仿宋_GB2312" w:cs="仿宋_GB2312" w:eastAsia="仿宋_GB2312"/>
                <w:sz w:val="21"/>
                <w:b/>
                <w:shd w:fill="FFFFFF" w:val="clear"/>
              </w:rPr>
              <w:t>迁移原则</w:t>
            </w:r>
          </w:p>
          <w:p>
            <w:pPr>
              <w:pStyle w:val="null3"/>
              <w:ind w:firstLine="400"/>
              <w:jc w:val="both"/>
            </w:pPr>
            <w:r>
              <w:rPr>
                <w:rFonts w:ascii="仿宋_GB2312" w:hAnsi="仿宋_GB2312" w:cs="仿宋_GB2312" w:eastAsia="仿宋_GB2312"/>
                <w:sz w:val="21"/>
              </w:rPr>
              <w:t>陕西法院本次数据迁移工作应确保迁移之后的数据能满足以下三点要求：一是业务数据的完整性，即各类案件的业务信息，保持与原有系统的信息项内容的一致，表象一致，</w:t>
            </w:r>
            <w:r>
              <w:rPr>
                <w:rFonts w:ascii="仿宋_GB2312" w:hAnsi="仿宋_GB2312" w:cs="仿宋_GB2312" w:eastAsia="仿宋_GB2312"/>
                <w:sz w:val="21"/>
              </w:rPr>
              <w:t>符合“一张网”平台相关技术规范要求；二是流程数据的完整性（包括结案报结、审限变更），即陕西法院审判执行、行政办公、诉讼服务等核心业务流程在“一张网”平台上线</w:t>
            </w:r>
            <w:r>
              <w:rPr>
                <w:rFonts w:ascii="仿宋_GB2312" w:hAnsi="仿宋_GB2312" w:cs="仿宋_GB2312" w:eastAsia="仿宋_GB2312"/>
                <w:sz w:val="21"/>
              </w:rPr>
              <w:t>后保持顺畅运行；三是业务数据的准确性，即案件数据、统计数据、文件档案等数据实现可追溯、可利用、可管理。</w:t>
            </w:r>
          </w:p>
          <w:p>
            <w:pPr>
              <w:pStyle w:val="null3"/>
              <w:jc w:val="both"/>
              <w:outlineLvl w:val="2"/>
            </w:pPr>
            <w:r>
              <w:rPr>
                <w:rFonts w:ascii="仿宋_GB2312" w:hAnsi="仿宋_GB2312" w:cs="仿宋_GB2312" w:eastAsia="仿宋_GB2312"/>
                <w:sz w:val="21"/>
                <w:b/>
              </w:rPr>
              <w:t>2.1</w:t>
            </w:r>
            <w:r>
              <w:rPr>
                <w:rFonts w:ascii="仿宋_GB2312" w:hAnsi="仿宋_GB2312" w:cs="仿宋_GB2312" w:eastAsia="仿宋_GB2312"/>
                <w:sz w:val="21"/>
                <w:b/>
              </w:rPr>
              <w:t>数据规范治理</w:t>
            </w:r>
          </w:p>
          <w:p>
            <w:pPr>
              <w:pStyle w:val="null3"/>
              <w:ind w:firstLine="400"/>
              <w:jc w:val="both"/>
            </w:pPr>
            <w:r>
              <w:rPr>
                <w:rFonts w:ascii="仿宋_GB2312" w:hAnsi="仿宋_GB2312" w:cs="仿宋_GB2312" w:eastAsia="仿宋_GB2312"/>
                <w:sz w:val="21"/>
              </w:rPr>
              <w:t>迁移完成后的数据应该是符合“一张网”平台数据标准规范的标准化数据，以便实现数据的统一利用和相互交换。</w:t>
            </w:r>
          </w:p>
          <w:p>
            <w:pPr>
              <w:pStyle w:val="null3"/>
              <w:jc w:val="both"/>
              <w:outlineLvl w:val="2"/>
            </w:pPr>
            <w:r>
              <w:rPr>
                <w:rFonts w:ascii="仿宋_GB2312" w:hAnsi="仿宋_GB2312" w:cs="仿宋_GB2312" w:eastAsia="仿宋_GB2312"/>
                <w:sz w:val="21"/>
                <w:b/>
              </w:rPr>
              <w:t>2.2</w:t>
            </w:r>
            <w:r>
              <w:rPr>
                <w:rFonts w:ascii="仿宋_GB2312" w:hAnsi="仿宋_GB2312" w:cs="仿宋_GB2312" w:eastAsia="仿宋_GB2312"/>
                <w:sz w:val="21"/>
                <w:b/>
              </w:rPr>
              <w:t>数据安全处理</w:t>
            </w:r>
          </w:p>
          <w:p>
            <w:pPr>
              <w:pStyle w:val="null3"/>
              <w:ind w:firstLine="400"/>
              <w:jc w:val="both"/>
            </w:pPr>
            <w:r>
              <w:rPr>
                <w:rFonts w:ascii="仿宋_GB2312" w:hAnsi="仿宋_GB2312" w:cs="仿宋_GB2312" w:eastAsia="仿宋_GB2312"/>
                <w:sz w:val="21"/>
              </w:rPr>
              <w:t>数据迁移传输过程中只能通过法院专网，需确保数据不丢失，数据不泄露，在关键节点做好数据备份。</w:t>
            </w:r>
          </w:p>
          <w:p>
            <w:pPr>
              <w:pStyle w:val="null3"/>
              <w:jc w:val="both"/>
              <w:outlineLvl w:val="2"/>
            </w:pPr>
            <w:r>
              <w:rPr>
                <w:rFonts w:ascii="仿宋_GB2312" w:hAnsi="仿宋_GB2312" w:cs="仿宋_GB2312" w:eastAsia="仿宋_GB2312"/>
                <w:sz w:val="21"/>
                <w:b/>
              </w:rPr>
              <w:t>2.3</w:t>
            </w:r>
            <w:r>
              <w:rPr>
                <w:rFonts w:ascii="仿宋_GB2312" w:hAnsi="仿宋_GB2312" w:cs="仿宋_GB2312" w:eastAsia="仿宋_GB2312"/>
                <w:sz w:val="21"/>
                <w:b/>
              </w:rPr>
              <w:t>本地业务保障</w:t>
            </w:r>
          </w:p>
          <w:p>
            <w:pPr>
              <w:pStyle w:val="null3"/>
              <w:ind w:firstLine="400"/>
              <w:jc w:val="both"/>
            </w:pPr>
            <w:r>
              <w:rPr>
                <w:rFonts w:ascii="仿宋_GB2312" w:hAnsi="仿宋_GB2312" w:cs="仿宋_GB2312" w:eastAsia="仿宋_GB2312"/>
                <w:sz w:val="21"/>
              </w:rPr>
              <w:t>数据迁移后的数据信息应能保证本地业务的可持续开展，一是满足系统正常运行的需要，包括数据的可显示、可控制及可再次利用等。二是从软件实现、网络保障等方面，考虑必要的替代方案，以应对在风险无法规避时的突发情况。</w:t>
            </w:r>
          </w:p>
          <w:p>
            <w:pPr>
              <w:pStyle w:val="null3"/>
              <w:jc w:val="both"/>
              <w:outlineLvl w:val="1"/>
            </w:pPr>
            <w:r>
              <w:rPr>
                <w:rFonts w:ascii="仿宋_GB2312" w:hAnsi="仿宋_GB2312" w:cs="仿宋_GB2312" w:eastAsia="仿宋_GB2312"/>
                <w:sz w:val="21"/>
                <w:b/>
                <w:shd w:fill="FFFFFF" w:val="clear"/>
              </w:rPr>
              <w:t>3</w:t>
            </w:r>
            <w:r>
              <w:rPr>
                <w:rFonts w:ascii="仿宋_GB2312" w:hAnsi="仿宋_GB2312" w:cs="仿宋_GB2312" w:eastAsia="仿宋_GB2312"/>
                <w:sz w:val="21"/>
                <w:b/>
                <w:shd w:fill="FFFFFF" w:val="clear"/>
              </w:rPr>
              <w:t>迁移策略</w:t>
            </w:r>
          </w:p>
          <w:p>
            <w:pPr>
              <w:pStyle w:val="null3"/>
              <w:ind w:firstLine="400"/>
              <w:jc w:val="both"/>
            </w:pPr>
            <w:r>
              <w:rPr>
                <w:rFonts w:ascii="仿宋_GB2312" w:hAnsi="仿宋_GB2312" w:cs="仿宋_GB2312" w:eastAsia="仿宋_GB2312"/>
                <w:sz w:val="21"/>
              </w:rPr>
              <w:t>需对待迁移的18类业务场景：包括1.用户中心（人事）、2.流程中心、3.执行（含点对点）、4.诉服、5.排期、6.费款、7.电子卷宗（含文书）、8.审判（含减刑假释）、9.“四类”案件、10.司法技术、11.案件评查、12.信访、13.行政办公（含办文、办会、工作督办）、14.档案、15.送达、16.政法协同、17.人民陪审员、18.阅核等，逐项分析其数据现状，并给出完整的迁移策略方案。</w:t>
            </w:r>
          </w:p>
          <w:p>
            <w:pPr>
              <w:pStyle w:val="null3"/>
              <w:jc w:val="both"/>
              <w:outlineLvl w:val="1"/>
            </w:pPr>
            <w:r>
              <w:rPr>
                <w:rFonts w:ascii="仿宋_GB2312" w:hAnsi="仿宋_GB2312" w:cs="仿宋_GB2312" w:eastAsia="仿宋_GB2312"/>
                <w:sz w:val="21"/>
                <w:b/>
                <w:shd w:fill="FFFFFF" w:val="clear"/>
              </w:rPr>
              <w:t>4</w:t>
            </w:r>
            <w:r>
              <w:rPr>
                <w:rFonts w:ascii="仿宋_GB2312" w:hAnsi="仿宋_GB2312" w:cs="仿宋_GB2312" w:eastAsia="仿宋_GB2312"/>
                <w:sz w:val="21"/>
                <w:b/>
                <w:shd w:fill="FFFFFF" w:val="clear"/>
              </w:rPr>
              <w:t>迁移准备</w:t>
            </w:r>
          </w:p>
          <w:p>
            <w:pPr>
              <w:pStyle w:val="null3"/>
              <w:jc w:val="both"/>
              <w:outlineLvl w:val="2"/>
            </w:pPr>
            <w:r>
              <w:rPr>
                <w:rFonts w:ascii="仿宋_GB2312" w:hAnsi="仿宋_GB2312" w:cs="仿宋_GB2312" w:eastAsia="仿宋_GB2312"/>
                <w:sz w:val="21"/>
                <w:b/>
              </w:rPr>
              <w:t>4.1</w:t>
            </w:r>
            <w:r>
              <w:rPr>
                <w:rFonts w:ascii="仿宋_GB2312" w:hAnsi="仿宋_GB2312" w:cs="仿宋_GB2312" w:eastAsia="仿宋_GB2312"/>
                <w:sz w:val="21"/>
                <w:b/>
              </w:rPr>
              <w:t>迁移工具准备</w:t>
            </w:r>
          </w:p>
          <w:p>
            <w:pPr>
              <w:pStyle w:val="null3"/>
              <w:ind w:firstLine="400"/>
              <w:jc w:val="both"/>
            </w:pPr>
            <w:r>
              <w:rPr>
                <w:rFonts w:ascii="仿宋_GB2312" w:hAnsi="仿宋_GB2312" w:cs="仿宋_GB2312" w:eastAsia="仿宋_GB2312"/>
                <w:sz w:val="21"/>
              </w:rPr>
              <w:t>遵循“一张网”平台数据标准XSD标准文件、数据结构说明文档、数据校验说明文档，通过代码映射工作，完成数据迁移工具准备。投标人应具备灵活可调的迁移工具，具有批量生成XML文件、导出跟踪记录、标识重复检查、异常案件删除、案件比较、补录上报和日志管理等功能。</w:t>
            </w:r>
          </w:p>
          <w:p>
            <w:pPr>
              <w:pStyle w:val="null3"/>
              <w:jc w:val="both"/>
              <w:outlineLvl w:val="2"/>
            </w:pPr>
            <w:r>
              <w:rPr>
                <w:rFonts w:ascii="仿宋_GB2312" w:hAnsi="仿宋_GB2312" w:cs="仿宋_GB2312" w:eastAsia="仿宋_GB2312"/>
                <w:sz w:val="21"/>
                <w:b/>
              </w:rPr>
              <w:t>4.2</w:t>
            </w:r>
            <w:r>
              <w:rPr>
                <w:rFonts w:ascii="仿宋_GB2312" w:hAnsi="仿宋_GB2312" w:cs="仿宋_GB2312" w:eastAsia="仿宋_GB2312"/>
                <w:sz w:val="21"/>
                <w:b/>
              </w:rPr>
              <w:t>★迁移工具联调</w:t>
            </w:r>
          </w:p>
          <w:p>
            <w:pPr>
              <w:pStyle w:val="null3"/>
              <w:ind w:firstLine="400"/>
              <w:jc w:val="both"/>
            </w:pPr>
            <w:r>
              <w:rPr>
                <w:rFonts w:ascii="仿宋_GB2312" w:hAnsi="仿宋_GB2312" w:cs="仿宋_GB2312" w:eastAsia="仿宋_GB2312"/>
                <w:sz w:val="21"/>
              </w:rPr>
              <w:t>准备测试数据，从迁移性能、故障和异常处理、性能优化和稳定性等方面开展数据迁移工具联调。</w:t>
            </w:r>
          </w:p>
          <w:p>
            <w:pPr>
              <w:pStyle w:val="null3"/>
              <w:jc w:val="both"/>
              <w:outlineLvl w:val="1"/>
            </w:pPr>
            <w:r>
              <w:rPr>
                <w:rFonts w:ascii="仿宋_GB2312" w:hAnsi="仿宋_GB2312" w:cs="仿宋_GB2312" w:eastAsia="仿宋_GB2312"/>
                <w:sz w:val="21"/>
                <w:b/>
                <w:shd w:fill="FFFFFF" w:val="clear"/>
              </w:rPr>
              <w:t>5</w:t>
            </w:r>
            <w:r>
              <w:rPr>
                <w:rFonts w:ascii="仿宋_GB2312" w:hAnsi="仿宋_GB2312" w:cs="仿宋_GB2312" w:eastAsia="仿宋_GB2312"/>
                <w:sz w:val="21"/>
                <w:b/>
                <w:shd w:fill="FFFFFF" w:val="clear"/>
              </w:rPr>
              <w:t>迁移预演</w:t>
            </w:r>
          </w:p>
          <w:p>
            <w:pPr>
              <w:pStyle w:val="null3"/>
              <w:ind w:firstLine="400"/>
              <w:jc w:val="both"/>
            </w:pPr>
            <w:r>
              <w:rPr>
                <w:rFonts w:ascii="仿宋_GB2312" w:hAnsi="仿宋_GB2312" w:cs="仿宋_GB2312" w:eastAsia="仿宋_GB2312"/>
                <w:sz w:val="21"/>
              </w:rPr>
              <w:t>★（1）在正式迁移前，选取部分真实数据开展数据迁移预演。</w:t>
            </w:r>
          </w:p>
          <w:p>
            <w:pPr>
              <w:pStyle w:val="null3"/>
              <w:ind w:firstLine="400"/>
              <w:jc w:val="both"/>
            </w:pPr>
            <w:r>
              <w:rPr>
                <w:rFonts w:ascii="仿宋_GB2312" w:hAnsi="仿宋_GB2312" w:cs="仿宋_GB2312" w:eastAsia="仿宋_GB2312"/>
                <w:sz w:val="21"/>
              </w:rPr>
              <w:t>（2）投标人需根据采购需求，制定数据迁移预演方案。通过在真实环境中开展数据迁移预演，发现并解决可能存在的迁移问题，根据预演结果调配资源，制定正式的迁移计划。</w:t>
            </w:r>
          </w:p>
          <w:p>
            <w:pPr>
              <w:pStyle w:val="null3"/>
              <w:jc w:val="both"/>
              <w:outlineLvl w:val="1"/>
            </w:pPr>
            <w:r>
              <w:rPr>
                <w:rFonts w:ascii="仿宋_GB2312" w:hAnsi="仿宋_GB2312" w:cs="仿宋_GB2312" w:eastAsia="仿宋_GB2312"/>
                <w:sz w:val="21"/>
                <w:b/>
                <w:shd w:fill="FFFFFF" w:val="clear"/>
              </w:rPr>
              <w:t>6</w:t>
            </w:r>
            <w:r>
              <w:rPr>
                <w:rFonts w:ascii="仿宋_GB2312" w:hAnsi="仿宋_GB2312" w:cs="仿宋_GB2312" w:eastAsia="仿宋_GB2312"/>
                <w:sz w:val="21"/>
                <w:b/>
                <w:shd w:fill="FFFFFF" w:val="clear"/>
              </w:rPr>
              <w:t>正式迁移</w:t>
            </w:r>
          </w:p>
          <w:p>
            <w:pPr>
              <w:pStyle w:val="null3"/>
              <w:ind w:firstLine="400"/>
              <w:jc w:val="both"/>
            </w:pPr>
            <w:r>
              <w:rPr>
                <w:rFonts w:ascii="仿宋_GB2312" w:hAnsi="仿宋_GB2312" w:cs="仿宋_GB2312" w:eastAsia="仿宋_GB2312"/>
                <w:sz w:val="21"/>
              </w:rPr>
              <w:t>（1）投标人应提供一份详细的数据正式迁移方案，涵盖组织架构与职责分工、评估并制定详细的迁移周期安排。</w:t>
            </w:r>
          </w:p>
          <w:p>
            <w:pPr>
              <w:pStyle w:val="null3"/>
              <w:ind w:firstLine="400"/>
              <w:jc w:val="both"/>
            </w:pPr>
            <w:r>
              <w:rPr>
                <w:rFonts w:ascii="仿宋_GB2312" w:hAnsi="仿宋_GB2312" w:cs="仿宋_GB2312" w:eastAsia="仿宋_GB2312"/>
                <w:sz w:val="21"/>
              </w:rPr>
              <w:t>★（2）在数据迁移完成后提供数据对账表和迁移报告。</w:t>
            </w:r>
          </w:p>
          <w:p>
            <w:pPr>
              <w:pStyle w:val="null3"/>
              <w:ind w:firstLine="400"/>
              <w:jc w:val="both"/>
            </w:pPr>
            <w:r>
              <w:rPr>
                <w:rFonts w:ascii="仿宋_GB2312" w:hAnsi="仿宋_GB2312" w:cs="仿宋_GB2312" w:eastAsia="仿宋_GB2312"/>
                <w:sz w:val="21"/>
              </w:rPr>
              <w:t>★（3）因数据迁移工作会占用大量网络带宽，为不影响全省原有业务系统日常使用，日间不能进行，需每日晚8时至次日早8时和非工作日进行数据迁移。</w:t>
            </w:r>
          </w:p>
          <w:p>
            <w:pPr>
              <w:pStyle w:val="null3"/>
              <w:jc w:val="both"/>
              <w:outlineLvl w:val="1"/>
            </w:pPr>
            <w:r>
              <w:rPr>
                <w:rFonts w:ascii="仿宋_GB2312" w:hAnsi="仿宋_GB2312" w:cs="仿宋_GB2312" w:eastAsia="仿宋_GB2312"/>
                <w:sz w:val="21"/>
                <w:b/>
                <w:shd w:fill="FFFFFF" w:val="clear"/>
              </w:rPr>
              <w:t>7</w:t>
            </w:r>
            <w:r>
              <w:rPr>
                <w:rFonts w:ascii="仿宋_GB2312" w:hAnsi="仿宋_GB2312" w:cs="仿宋_GB2312" w:eastAsia="仿宋_GB2312"/>
                <w:sz w:val="21"/>
                <w:b/>
                <w:shd w:fill="FFFFFF" w:val="clear"/>
              </w:rPr>
              <w:t>应急响应</w:t>
            </w:r>
          </w:p>
          <w:p>
            <w:pPr>
              <w:pStyle w:val="null3"/>
              <w:jc w:val="both"/>
              <w:outlineLvl w:val="2"/>
            </w:pPr>
            <w:r>
              <w:rPr>
                <w:rFonts w:ascii="仿宋_GB2312" w:hAnsi="仿宋_GB2312" w:cs="仿宋_GB2312" w:eastAsia="仿宋_GB2312"/>
                <w:sz w:val="21"/>
                <w:b/>
              </w:rPr>
              <w:t>7.1</w:t>
            </w:r>
            <w:r>
              <w:rPr>
                <w:rFonts w:ascii="仿宋_GB2312" w:hAnsi="仿宋_GB2312" w:cs="仿宋_GB2312" w:eastAsia="仿宋_GB2312"/>
                <w:sz w:val="21"/>
                <w:b/>
              </w:rPr>
              <w:t>★备份和恢复方案</w:t>
            </w:r>
          </w:p>
          <w:p>
            <w:pPr>
              <w:pStyle w:val="null3"/>
              <w:ind w:firstLine="400"/>
              <w:jc w:val="both"/>
            </w:pPr>
            <w:r>
              <w:rPr>
                <w:rFonts w:ascii="仿宋_GB2312" w:hAnsi="仿宋_GB2312" w:cs="仿宋_GB2312" w:eastAsia="仿宋_GB2312"/>
                <w:sz w:val="21"/>
              </w:rPr>
              <w:t>制定数据备份和恢复方案，迁移开始前完成数据备份，当数据丢失或损坏等意外情况发生时完成数据恢复。</w:t>
            </w:r>
          </w:p>
          <w:p>
            <w:pPr>
              <w:pStyle w:val="null3"/>
              <w:jc w:val="both"/>
              <w:outlineLvl w:val="2"/>
            </w:pPr>
            <w:r>
              <w:rPr>
                <w:rFonts w:ascii="仿宋_GB2312" w:hAnsi="仿宋_GB2312" w:cs="仿宋_GB2312" w:eastAsia="仿宋_GB2312"/>
                <w:sz w:val="21"/>
                <w:b/>
              </w:rPr>
              <w:t>7.2</w:t>
            </w:r>
            <w:r>
              <w:rPr>
                <w:rFonts w:ascii="仿宋_GB2312" w:hAnsi="仿宋_GB2312" w:cs="仿宋_GB2312" w:eastAsia="仿宋_GB2312"/>
                <w:sz w:val="21"/>
                <w:b/>
              </w:rPr>
              <w:t>风险和措施</w:t>
            </w:r>
          </w:p>
          <w:p>
            <w:pPr>
              <w:pStyle w:val="null3"/>
              <w:ind w:firstLine="400"/>
              <w:jc w:val="both"/>
            </w:pPr>
            <w:r>
              <w:rPr>
                <w:rFonts w:ascii="仿宋_GB2312" w:hAnsi="仿宋_GB2312" w:cs="仿宋_GB2312" w:eastAsia="仿宋_GB2312"/>
                <w:sz w:val="21"/>
              </w:rPr>
              <w:t>针对数据量过大、迁移速度慢、数据缺失、标准更新及数据解析等潜在风险，制定详尽的风险预防和应对策略，确保项目执行的高效性、透明度和可控性。</w:t>
            </w:r>
          </w:p>
          <w:p>
            <w:pPr>
              <w:pStyle w:val="null3"/>
              <w:jc w:val="both"/>
              <w:outlineLvl w:val="2"/>
            </w:pPr>
            <w:r>
              <w:rPr>
                <w:rFonts w:ascii="仿宋_GB2312" w:hAnsi="仿宋_GB2312" w:cs="仿宋_GB2312" w:eastAsia="仿宋_GB2312"/>
                <w:sz w:val="21"/>
                <w:b/>
              </w:rPr>
              <w:t>7.3</w:t>
            </w:r>
            <w:r>
              <w:rPr>
                <w:rFonts w:ascii="仿宋_GB2312" w:hAnsi="仿宋_GB2312" w:cs="仿宋_GB2312" w:eastAsia="仿宋_GB2312"/>
                <w:sz w:val="21"/>
                <w:b/>
              </w:rPr>
              <w:t>应急响应团队</w:t>
            </w:r>
          </w:p>
          <w:p>
            <w:pPr>
              <w:pStyle w:val="null3"/>
              <w:ind w:firstLine="400"/>
              <w:jc w:val="both"/>
            </w:pPr>
            <w:r>
              <w:rPr>
                <w:rFonts w:ascii="仿宋_GB2312" w:hAnsi="仿宋_GB2312" w:cs="仿宋_GB2312" w:eastAsia="仿宋_GB2312"/>
                <w:sz w:val="21"/>
              </w:rPr>
              <w:t>针对项目实施过程中出现的突发事故，提供详细的应急保障方案，涵盖应急管理制度、应急处置流程、应急人员配备（团队人数不少于5人，不得与其他团队复用）及应急保障措施等内容，确保在突发情况下能够迅速恢复业务正常运行，最大限度减少影响，保障项目的连续性和稳定性。</w:t>
            </w:r>
          </w:p>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项目服务要求</w:t>
            </w:r>
          </w:p>
          <w:p>
            <w:pPr>
              <w:pStyle w:val="null3"/>
              <w:jc w:val="both"/>
              <w:outlineLvl w:val="1"/>
            </w:pP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售后服务要求</w:t>
            </w:r>
          </w:p>
          <w:p>
            <w:pPr>
              <w:pStyle w:val="null3"/>
              <w:ind w:firstLine="400"/>
              <w:jc w:val="both"/>
            </w:pPr>
            <w:r>
              <w:rPr>
                <w:rFonts w:ascii="仿宋_GB2312" w:hAnsi="仿宋_GB2312" w:cs="仿宋_GB2312" w:eastAsia="仿宋_GB2312"/>
                <w:sz w:val="21"/>
              </w:rPr>
              <w:t>（1）质量保证期：1年。</w:t>
            </w:r>
          </w:p>
          <w:p>
            <w:pPr>
              <w:pStyle w:val="null3"/>
              <w:ind w:firstLine="400"/>
              <w:jc w:val="both"/>
            </w:pPr>
            <w:r>
              <w:rPr>
                <w:rFonts w:ascii="仿宋_GB2312" w:hAnsi="仿宋_GB2312" w:cs="仿宋_GB2312" w:eastAsia="仿宋_GB2312"/>
                <w:sz w:val="21"/>
              </w:rPr>
              <w:t>（2）项目验收合格后进入质保期，质保期为期1年；质保期内，中标人应按全国法院“一张网”平台工作要求，提供数据治理相关服务；</w:t>
            </w:r>
            <w:r>
              <w:rPr>
                <w:rFonts w:ascii="仿宋_GB2312" w:hAnsi="仿宋_GB2312" w:cs="仿宋_GB2312" w:eastAsia="仿宋_GB2312"/>
                <w:sz w:val="21"/>
                <w:b/>
              </w:rPr>
              <w:t>（提供承诺函并盖公章）</w:t>
            </w:r>
          </w:p>
          <w:p>
            <w:pPr>
              <w:pStyle w:val="null3"/>
              <w:ind w:firstLine="400"/>
              <w:jc w:val="both"/>
            </w:pPr>
            <w:r>
              <w:rPr>
                <w:rFonts w:ascii="仿宋_GB2312" w:hAnsi="仿宋_GB2312" w:cs="仿宋_GB2312" w:eastAsia="仿宋_GB2312"/>
                <w:sz w:val="21"/>
              </w:rPr>
              <w:t>（3）质保期内，如全国法院“一张网”平台提出新的数据迁移、治理相关工作要求，中标人需无条件配合落实，相关费用均由中标人承担；</w:t>
            </w:r>
            <w:r>
              <w:rPr>
                <w:rFonts w:ascii="仿宋_GB2312" w:hAnsi="仿宋_GB2312" w:cs="仿宋_GB2312" w:eastAsia="仿宋_GB2312"/>
                <w:sz w:val="21"/>
                <w:b/>
              </w:rPr>
              <w:t>（提供承诺函并盖公章）</w:t>
            </w:r>
          </w:p>
          <w:p>
            <w:pPr>
              <w:pStyle w:val="null3"/>
              <w:ind w:firstLine="400"/>
              <w:jc w:val="both"/>
            </w:pPr>
            <w:r>
              <w:rPr>
                <w:rFonts w:ascii="仿宋_GB2312" w:hAnsi="仿宋_GB2312" w:cs="仿宋_GB2312" w:eastAsia="仿宋_GB2312"/>
                <w:sz w:val="21"/>
              </w:rPr>
              <w:t>（4）依据全国法院 “一张网”平台建设规划，务必将各业务系统中原有业务数据全面导出，并精准无误地导入至 “一张网” 平台。在数据迁移作业完成后，必须确保所迁移数据的完整性与准确性，做到数据不丢不漏、无偏差无差错，以保障法院业务在 “一张网” 平台环境下的顺畅运转与数据的可靠运用。</w:t>
            </w:r>
            <w:r>
              <w:rPr>
                <w:rFonts w:ascii="仿宋_GB2312" w:hAnsi="仿宋_GB2312" w:cs="仿宋_GB2312" w:eastAsia="仿宋_GB2312"/>
                <w:sz w:val="21"/>
                <w:b/>
              </w:rPr>
              <w:t>（★投标人应出具承诺函，承诺将严格按照招标文件规定的迁移范围，把所有相关数据完整准确地迁移至 “一张网”平台之中，并加盖公章）</w:t>
            </w:r>
          </w:p>
          <w:p>
            <w:pPr>
              <w:pStyle w:val="null3"/>
              <w:jc w:val="both"/>
              <w:outlineLvl w:val="1"/>
            </w:pPr>
            <w:r>
              <w:rPr>
                <w:rFonts w:ascii="仿宋_GB2312" w:hAnsi="仿宋_GB2312" w:cs="仿宋_GB2312" w:eastAsia="仿宋_GB2312"/>
                <w:sz w:val="21"/>
                <w:b/>
                <w:shd w:fill="FFFFFF" w:val="clear"/>
              </w:rPr>
              <w:t>2</w:t>
            </w:r>
            <w:r>
              <w:rPr>
                <w:rFonts w:ascii="仿宋_GB2312" w:hAnsi="仿宋_GB2312" w:cs="仿宋_GB2312" w:eastAsia="仿宋_GB2312"/>
                <w:sz w:val="21"/>
                <w:b/>
                <w:shd w:fill="FFFFFF" w:val="clear"/>
              </w:rPr>
              <w:t>服务团队</w:t>
            </w:r>
          </w:p>
          <w:p>
            <w:pPr>
              <w:pStyle w:val="null3"/>
              <w:ind w:firstLine="400"/>
              <w:jc w:val="both"/>
            </w:pPr>
            <w:r>
              <w:rPr>
                <w:rFonts w:ascii="仿宋_GB2312" w:hAnsi="仿宋_GB2312" w:cs="仿宋_GB2312" w:eastAsia="仿宋_GB2312"/>
                <w:sz w:val="21"/>
              </w:rPr>
              <w:t>★(1)为保障项目工作顺利完成，投标人必须</w:t>
            </w:r>
            <w:r>
              <w:rPr>
                <w:rFonts w:ascii="仿宋_GB2312" w:hAnsi="仿宋_GB2312" w:cs="仿宋_GB2312" w:eastAsia="仿宋_GB2312"/>
                <w:sz w:val="21"/>
              </w:rPr>
              <w:t>组织稳定的、经验丰富的项目团队来完成项目的服务工作，提供项目服务人员不少于10人。</w:t>
            </w:r>
          </w:p>
          <w:p>
            <w:pPr>
              <w:pStyle w:val="null3"/>
              <w:ind w:firstLine="400"/>
              <w:jc w:val="both"/>
            </w:pPr>
            <w:r>
              <w:rPr>
                <w:rFonts w:ascii="仿宋_GB2312" w:hAnsi="仿宋_GB2312" w:cs="仿宋_GB2312" w:eastAsia="仿宋_GB2312"/>
                <w:sz w:val="21"/>
              </w:rPr>
              <w:t>（2）本项目需配备一名项目经理，负责服务团队的日常管理和项目进展监督，同时每周向采购人报告项目进度、已知风险以及项目质量控制等各项工作的完成情况</w:t>
            </w:r>
            <w:r>
              <w:rPr>
                <w:rFonts w:ascii="仿宋_GB2312" w:hAnsi="仿宋_GB2312" w:cs="仿宋_GB2312" w:eastAsia="仿宋_GB2312"/>
                <w:sz w:val="21"/>
              </w:rPr>
              <w:t>。</w:t>
            </w:r>
          </w:p>
          <w:p>
            <w:pPr>
              <w:pStyle w:val="null3"/>
              <w:jc w:val="both"/>
              <w:outlineLvl w:val="1"/>
            </w:pPr>
            <w:r>
              <w:rPr>
                <w:rFonts w:ascii="仿宋_GB2312" w:hAnsi="仿宋_GB2312" w:cs="仿宋_GB2312" w:eastAsia="仿宋_GB2312"/>
                <w:sz w:val="21"/>
                <w:b/>
                <w:shd w:fill="FFFFFF" w:val="clear"/>
              </w:rPr>
              <w:t>3</w:t>
            </w:r>
            <w:r>
              <w:rPr>
                <w:rFonts w:ascii="仿宋_GB2312" w:hAnsi="仿宋_GB2312" w:cs="仿宋_GB2312" w:eastAsia="仿宋_GB2312"/>
                <w:sz w:val="21"/>
                <w:b/>
                <w:shd w:fill="FFFFFF" w:val="clear"/>
              </w:rPr>
              <w:t>交付时间</w:t>
            </w:r>
          </w:p>
          <w:p>
            <w:pPr>
              <w:pStyle w:val="null3"/>
              <w:ind w:firstLine="400"/>
              <w:jc w:val="both"/>
            </w:pPr>
            <w:r>
              <w:rPr>
                <w:rFonts w:ascii="仿宋_GB2312" w:hAnsi="仿宋_GB2312" w:cs="仿宋_GB2312" w:eastAsia="仿宋_GB2312"/>
                <w:sz w:val="21"/>
              </w:rPr>
              <w:t>全省法院全量案件结构化数据迁移3个月内完成；全量案件非结构化数据迁移约6个月内完成（为确保数据迁移质量，如遇客观原因确需延期的，需经甲方书面审批同意）。</w:t>
            </w:r>
          </w:p>
          <w:p>
            <w:pPr>
              <w:pStyle w:val="null3"/>
              <w:jc w:val="both"/>
              <w:outlineLvl w:val="1"/>
            </w:pPr>
            <w:r>
              <w:rPr>
                <w:rFonts w:ascii="仿宋_GB2312" w:hAnsi="仿宋_GB2312" w:cs="仿宋_GB2312" w:eastAsia="仿宋_GB2312"/>
                <w:sz w:val="21"/>
                <w:b/>
                <w:shd w:fill="FFFFFF" w:val="clear"/>
              </w:rPr>
              <w:t>4</w:t>
            </w:r>
            <w:r>
              <w:rPr>
                <w:rFonts w:ascii="仿宋_GB2312" w:hAnsi="仿宋_GB2312" w:cs="仿宋_GB2312" w:eastAsia="仿宋_GB2312"/>
                <w:sz w:val="21"/>
                <w:b/>
                <w:shd w:fill="FFFFFF" w:val="clear"/>
              </w:rPr>
              <w:t>培训服务</w:t>
            </w:r>
          </w:p>
          <w:p>
            <w:pPr>
              <w:pStyle w:val="null3"/>
              <w:jc w:val="both"/>
            </w:pPr>
            <w:r>
              <w:rPr>
                <w:rFonts w:ascii="仿宋_GB2312" w:hAnsi="仿宋_GB2312" w:cs="仿宋_GB2312" w:eastAsia="仿宋_GB2312"/>
                <w:sz w:val="21"/>
              </w:rPr>
              <w:t>中标方在交付产品和服务后，需组织对具体使用人员进行操作培训并协助开展试用，相关费用已含在报价中。培训聚焦一张网数据迁移的初始化准备工作，面向各法院系统管理员及技术人员，内容涵盖初始化信息收集、权限管理、文书模板、审批流程、应用基础规则初始化及办公基础信息采集等方面，采用理论讲解、操作演示、案例分析、实践操作与答疑等多样形式，旨在助力各法院单位高效完成初始化任务，保障一张网顺利上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（1）为保障项目工作顺利完成，投标人必须组织稳定的、经验丰富的项目团队来完成项目的服务工作，提供项目服务人员不少于10人。 （2）本项目需配备一名项目经理，负责服务团队的日常管理和项目进展监督，同时每周向采购人报告项目进度、已知风险以及项目质量控制等各项工作的完成情况。</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全省法院全量案件结构化数据迁移3个月内完成；全量案件非结构化数据迁移约6个月内完成（为确保数据迁移质量，如遇客观原因确需延期的，需经甲方书面审批同意）。</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项目验收合格后（乙方提供全额正规发票）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本项目政府采购工作，供应商须在陕西省政府采购电子化交易平台上传电子版投标文件并完成签章、加密，同时，线下递交纸质版投标文件正本壹份、副本壹份。若电子版投标文件与纸质版投标文件不一致的，以陕西省政府采购电子化交易平台上传的电子版投标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售后服务方案.docx 开标一览表 数据迁移预演方案.docx 资格证明文件.docx 服务偏离表.docx 技术服务指标.docx 分项报价表.docx 企业综合实力.docx 投标函 标的清单 保证金缴纳凭证.docx 投标文件封面 项目人员配备.docx 商务偏离表.docx 监狱企业的证明文件 投标人认为有必要说明的其他资料.docx 培训服务方案.docx 中小企业声明函 风险预防方案.docx 数据正式迁移方案.docx 残疾人福利性单位声明函 项目需求分析.docx 业绩统计表.docx 报价表.docx 投标人承诺书.docx 项目管理方案.docx 应急保障方案.docx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售后服务方案.docx 开标一览表 数据迁移预演方案.docx 资格证明文件.docx 服务偏离表.docx 技术服务指标.docx 分项报价表.docx 企业综合实力.docx 投标函 标的清单 保证金缴纳凭证.docx 投标文件封面 项目人员配备.docx 商务偏离表.docx 监狱企业的证明文件 投标人认为有必要说明的其他资料.docx 培训服务方案.docx 中小企业声明函 风险预防方案.docx 数据正式迁移方案.docx 残疾人福利性单位声明函 项目需求分析.docx 业绩统计表.docx 报价表.docx 投标人承诺书.docx 项目管理方案.docx 应急保障方案.docx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针对本项目提供完善的项目需求分析方案，包括但不限于：①对项目建设整体内容的理解、对业务现状、用户需求分析；②项目迁移目标及风险防控。 二、评审标准 1、完整性：方案须全面，对评审内容中的各项要求有详细描述； 2、可实施性：切合本项目实际情况，实施步骤清晰、合理； 3、针对性：方案能够紧扣项目实际情况，内容科学合理。 三、赋分依据（满分6分） ①对项目建设整体内容的理解、对业务现状、用户需求分析：每完全满足一个评审标准得1分，满分3分； ②项目迁移目标及风险防控：每完全满足一个评审标准得1分，满分3分。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数据迁移预演方案</w:t>
            </w:r>
          </w:p>
        </w:tc>
        <w:tc>
          <w:tcPr>
            <w:tcW w:type="dxa" w:w="2492"/>
          </w:tcPr>
          <w:p>
            <w:pPr>
              <w:pStyle w:val="null3"/>
            </w:pPr>
            <w:r>
              <w:rPr>
                <w:rFonts w:ascii="仿宋_GB2312" w:hAnsi="仿宋_GB2312" w:cs="仿宋_GB2312" w:eastAsia="仿宋_GB2312"/>
              </w:rPr>
              <w:t>一、评审内容 针对本项目提供完善的数据迁移预演方案，包括但不限于：①安装迁移程序；②测试数据试迁；③迁移导出性能验证；④数据质量验证等。 二、评审标准 1、完整性：方案须全面，对评审内容中的各项要求有详细描述； 2、可实施性：切合本项目实际情况，实施步骤清晰、合理； 3、针对性：方案能够紧扣项目实际情况，内容科学合理。 三、赋分依据（满分12分） ①安装迁移程序：每完全满足一个评审标准得1分，满分3分； ②测试数据试迁：每完全满足一个评审标准得1分，满分3分； ③迁移导出性能验证：每完全满足一个评审标准得1分，满分3分； ④数据质量验证：每完全满足一个评审标准得1分，满分3分。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数据迁移预演方案.docx</w:t>
            </w:r>
          </w:p>
        </w:tc>
      </w:tr>
      <w:tr>
        <w:tc>
          <w:tcPr>
            <w:tcW w:type="dxa" w:w="831"/>
            <w:vMerge/>
          </w:tcPr>
          <w:p/>
        </w:tc>
        <w:tc>
          <w:tcPr>
            <w:tcW w:type="dxa" w:w="1661"/>
          </w:tcPr>
          <w:p>
            <w:pPr>
              <w:pStyle w:val="null3"/>
            </w:pPr>
            <w:r>
              <w:rPr>
                <w:rFonts w:ascii="仿宋_GB2312" w:hAnsi="仿宋_GB2312" w:cs="仿宋_GB2312" w:eastAsia="仿宋_GB2312"/>
              </w:rPr>
              <w:t>数据正式迁移方案</w:t>
            </w:r>
          </w:p>
        </w:tc>
        <w:tc>
          <w:tcPr>
            <w:tcW w:type="dxa" w:w="2492"/>
          </w:tcPr>
          <w:p>
            <w:pPr>
              <w:pStyle w:val="null3"/>
            </w:pPr>
            <w:r>
              <w:rPr>
                <w:rFonts w:ascii="仿宋_GB2312" w:hAnsi="仿宋_GB2312" w:cs="仿宋_GB2312" w:eastAsia="仿宋_GB2312"/>
              </w:rPr>
              <w:t>一、评审内容 针对本项目提供完善的数据正式迁移方案，包括但不限于：①组织架构方案；②评估迁移周期；③编制迁移报告；④明确数据迁移对账表；⑤业务数据迁移等。 二、评审标准 1、完整性：方案须全面，对评审内容中的各项要求有详细描述； 2、可实施性：切合本项目实际情况，实施步骤清晰、合理； 3、针对性：方案能够紧扣项目实际情况，内容科学合理。 三、赋分依据（满分15分） ①组织架构方案：每完全满足一个评审标准得1分，满分3分； ②评估迁移周期：每完全满足一个评审标准得1分，满分3分； ③编制迁移报告：每完全满足一个评审标准得1分，满分3分； ④明确数据迁移对账表：每完全满足一个评审标准得1分，满分3分； ⑤业务数据迁移：每完全满足一个评审标准得1分，满分3分。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数据正式迁移方案.docx</w:t>
            </w:r>
          </w:p>
        </w:tc>
      </w:tr>
      <w:tr>
        <w:tc>
          <w:tcPr>
            <w:tcW w:type="dxa" w:w="831"/>
            <w:vMerge/>
          </w:tcPr>
          <w:p/>
        </w:tc>
        <w:tc>
          <w:tcPr>
            <w:tcW w:type="dxa" w:w="1661"/>
          </w:tcPr>
          <w:p>
            <w:pPr>
              <w:pStyle w:val="null3"/>
            </w:pPr>
            <w:r>
              <w:rPr>
                <w:rFonts w:ascii="仿宋_GB2312" w:hAnsi="仿宋_GB2312" w:cs="仿宋_GB2312" w:eastAsia="仿宋_GB2312"/>
              </w:rPr>
              <w:t>技术服务指标</w:t>
            </w:r>
          </w:p>
        </w:tc>
        <w:tc>
          <w:tcPr>
            <w:tcW w:type="dxa" w:w="2492"/>
          </w:tcPr>
          <w:p>
            <w:pPr>
              <w:pStyle w:val="null3"/>
            </w:pPr>
            <w:r>
              <w:rPr>
                <w:rFonts w:ascii="仿宋_GB2312" w:hAnsi="仿宋_GB2312" w:cs="仿宋_GB2312" w:eastAsia="仿宋_GB2312"/>
              </w:rPr>
              <w:t>依据服务需求中的迁移准备要求，投标人应具备可调整的迁移工具，数据迁移工具需具备以下功能：批量生成XML文件、导出跟踪记录、标识重复检查、异常案件删除、案件比较、补录上报、日志管理，满足1项得0.5分，全部满足则得3.5分。（需提供功能截图并加盖公章）</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技术服务指标.docx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针对本项目提供完善的项目管理方案，包括但不限于：①项目管理体系及管理架构；②项目管理制度及措施；③数据安全管理方案。 二、评审标准 1、完整性：方案须全面，对评审内容中的各项要求有详细描述； 2、可实施性：切合本项目实际情况，实施步骤清晰、合理； 3、针对性：方案能够紧扣项目实际情况，内容科学合理。 三、赋分依据（满分9分） ①项目管理体系及管理架构：每完全满足一个评审标准得1分，满分3分； ②项目管理制度及措施：每完全满足一个评审标准得1分，满分3分； ③数据安全管理方案：每完全满足一个评审标准得1分，满分3分。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项目管理方案.docx</w:t>
            </w:r>
          </w:p>
        </w:tc>
      </w:tr>
      <w:tr>
        <w:tc>
          <w:tcPr>
            <w:tcW w:type="dxa" w:w="831"/>
            <w:vMerge/>
          </w:tcPr>
          <w:p/>
        </w:tc>
        <w:tc>
          <w:tcPr>
            <w:tcW w:type="dxa" w:w="1661"/>
          </w:tcPr>
          <w:p>
            <w:pPr>
              <w:pStyle w:val="null3"/>
            </w:pPr>
            <w:r>
              <w:rPr>
                <w:rFonts w:ascii="仿宋_GB2312" w:hAnsi="仿宋_GB2312" w:cs="仿宋_GB2312" w:eastAsia="仿宋_GB2312"/>
              </w:rPr>
              <w:t>风险预防方案</w:t>
            </w:r>
          </w:p>
        </w:tc>
        <w:tc>
          <w:tcPr>
            <w:tcW w:type="dxa" w:w="2492"/>
          </w:tcPr>
          <w:p>
            <w:pPr>
              <w:pStyle w:val="null3"/>
            </w:pPr>
            <w:r>
              <w:rPr>
                <w:rFonts w:ascii="仿宋_GB2312" w:hAnsi="仿宋_GB2312" w:cs="仿宋_GB2312" w:eastAsia="仿宋_GB2312"/>
              </w:rPr>
              <w:t>一、评审内容 针对本项目提供完善的风险预防方案，包括但不限于：①数据备份和恢复方案；②预防数据量过大、迁移速度慢、个别数据缺失的方案；③预防数据迁移标准升级更新、数据解析入库不可控的方案。 二、评审标准 1、完整性：方案须全面，对评审内容中的各项要求有详细描述； 2、可实施性：切合本项目实际情况，实施步骤清晰、合理； 3、针对性：方案能够紧扣项目实际情况，内容科学合理。 三、赋分依据（满分9分） ①数据备份和恢复方案：每完全满足一个评审标准得1分，满分3分； ②预防数据量过大、迁移速度慢、个别数据缺失的方案：每完全满足一个评审标准得1分，满分3分； ③预防数据迁移标准升级更新、数据解析入库不可控的方案：每完全满足一个评审标准得1分，满分3分。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风险预防方案.docx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针对本项目提供完善的应急保障方案，包括但不限于：①应急管理制度及保证措施；②应急处置流程；③应急人员配备。 二、评审标准 1、完整性：方案须全面，对评审内容中的各项要求有详细描述； 2、可实施性：切合本项目实际情况，实施步骤清晰、合理； 3、针对性：方案能够紧扣项目实际情况，内容科学合理。 三、赋分依据（满分9分） ①应急管理制度及保证措施：每完全满足一个评审标准得1分，满分3分； ②应急处置流程：每完全满足一个评审标准得1分，满分3分； ③应急人员配备：每完全满足一个评审标准得1分，满分3分。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针对本项目提供完善的售后服务方案，包括但不限于：①售后服务承诺及售后服务保障措施；②售后服务响应时限、售后服务体系、售后服务内容。 二、评审标准 1、完整性：方案须全面，对评审内容中的各项要求有详细描述； 2、可实施性：切合本项目实际情况，实施步骤清晰、合理； 3、针对性：方案能够紧扣项目实际情况，内容科学合理。 三、赋分依据（满分6分） ①售后服务承诺及售后服务保障措施：每完全满足一个评审标准得1分，满分3分； ②售后服务响应时限、售后服务体系、售后服务内容：每完全满足一个评审标准得1分，满分3分。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针对本项目提供完善的培训服务方案，包括但不限于：①培训服务承诺、培训方案及计划、培训人员安排；②培训的具体内容及方式，确保使用人员能够独立熟练操作、维护和正常使用。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三、赋分依据（满分6分） ①培训方案及计划、培训人员安排：每完全满足一个评审标准得1分，满分3分； ②培训的具体内容及方式，确保使用人员能够独立熟练操作、维护和正常使用：每完全满足一个评审标准得1分，满分3分。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拟派项目经理需同时具备信息系统项目管理师(高级)证书、系统架构设计师证书、软件设计师证书，得3分，同时不具备的不得分。（投标人提供有效期内证书复印件，并加盖投标人公章） 注：项目经理须提供投标人为其缴纳的前六个月任意一个月的社保证明截图。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一、评审内容 针对本项目提供完善的项目人员配备，包括但不限于：①团队组织架构；②人员构成、专业能力及分工；③岗位职责及人员管理制度。 二、评审标准 1、完整性：方案须全面，对评审内容中的各项要求有详细描述； 2、可实施性：切合本项目实际情况，实施步骤清晰、合理； 3、针对性：方案能够紧扣项目实际情况，内容科学合理。 三、赋分依据（满分4.5分） ①团队组织架构：每完全满足一个评审标准得0.5分，满分1.5分； ②人员构成及分工：每完全满足一个评审标准得0.5分，满分1.5分； ③岗位职责及人员管理制度：每完全满足一个评审标准得0.5分，满分1.5分。 注：项目团队人员须提供相关证明材料复印件并加盖投标人公章，包含但不限于学历证明、职称证书、专业资格证书等。</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投标人具有质量管理体系认证证书、信息安全管理体系认证证书、信息技术服务管理体系认证证书、ITSS信息技术服务标准符合性证书，每提供一个得1分，最多得4分，不提供不得分。 注：投标人须提供有效期内的证书复印件并加盖投标人公章，未提供不得分。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投标人自2022年1月1日以来（以合同签订时间为准），具有类似项目案例的，每提供一个得1分，最高3分。 注：提供合同复印件并加盖投标人公章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 10分。（因落实政府采购政策进行价格调整的，以调整后的价格计算评标基准价和投标报价）其他投标人的价格分按照下列公式计算：投标报价得分＝（评标基准价/投标报价）×10。价格得分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详见附件：数据迁移预演方案.docx</w:t>
      </w:r>
    </w:p>
    <w:p>
      <w:pPr>
        <w:pStyle w:val="null3"/>
        <w:ind w:firstLine="960"/>
      </w:pPr>
      <w:r>
        <w:rPr>
          <w:rFonts w:ascii="仿宋_GB2312" w:hAnsi="仿宋_GB2312" w:cs="仿宋_GB2312" w:eastAsia="仿宋_GB2312"/>
        </w:rPr>
        <w:t>详见附件：数据正式迁移方案.docx</w:t>
      </w:r>
    </w:p>
    <w:p>
      <w:pPr>
        <w:pStyle w:val="null3"/>
        <w:ind w:firstLine="960"/>
      </w:pPr>
      <w:r>
        <w:rPr>
          <w:rFonts w:ascii="仿宋_GB2312" w:hAnsi="仿宋_GB2312" w:cs="仿宋_GB2312" w:eastAsia="仿宋_GB2312"/>
        </w:rPr>
        <w:t>详见附件：技术服务指标.docx</w:t>
      </w:r>
    </w:p>
    <w:p>
      <w:pPr>
        <w:pStyle w:val="null3"/>
        <w:ind w:firstLine="960"/>
      </w:pPr>
      <w:r>
        <w:rPr>
          <w:rFonts w:ascii="仿宋_GB2312" w:hAnsi="仿宋_GB2312" w:cs="仿宋_GB2312" w:eastAsia="仿宋_GB2312"/>
        </w:rPr>
        <w:t>详见附件：项目管理方案.docx</w:t>
      </w:r>
    </w:p>
    <w:p>
      <w:pPr>
        <w:pStyle w:val="null3"/>
        <w:ind w:firstLine="960"/>
      </w:pPr>
      <w:r>
        <w:rPr>
          <w:rFonts w:ascii="仿宋_GB2312" w:hAnsi="仿宋_GB2312" w:cs="仿宋_GB2312" w:eastAsia="仿宋_GB2312"/>
        </w:rPr>
        <w:t>详见附件：风险预防方案.docx</w:t>
      </w:r>
    </w:p>
    <w:p>
      <w:pPr>
        <w:pStyle w:val="null3"/>
        <w:ind w:firstLine="960"/>
      </w:pPr>
      <w:r>
        <w:rPr>
          <w:rFonts w:ascii="仿宋_GB2312" w:hAnsi="仿宋_GB2312" w:cs="仿宋_GB2312" w:eastAsia="仿宋_GB2312"/>
        </w:rPr>
        <w:t>详见附件：应急保障方案.docx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