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版本号：ZSHZB-ZC2025-14620250831001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2025年第三次土壤普查省级项目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ZSHZB-ZC2025-146</w:t>
      </w:r>
      <w:r>
        <w:br/>
      </w:r>
      <w:r>
        <w:br/>
      </w:r>
      <w:r>
        <w:br/>
      </w:r>
    </w:p>
    <w:p>
      <w:pPr>
        <w:pStyle w:val="null3"/>
        <w:jc w:val="center"/>
        <w:outlineLvl w:val="2"/>
      </w:pPr>
      <w:r>
        <w:rPr>
          <w:rFonts w:ascii="仿宋_GB2312" w:hAnsi="仿宋_GB2312" w:cs="仿宋_GB2312" w:eastAsia="仿宋_GB2312"/>
          <w:sz w:val="28"/>
          <w:b/>
        </w:rPr>
        <w:t>陕西省农业厅机关</w:t>
      </w:r>
    </w:p>
    <w:p>
      <w:pPr>
        <w:pStyle w:val="null3"/>
        <w:jc w:val="center"/>
        <w:outlineLvl w:val="2"/>
      </w:pPr>
      <w:r>
        <w:rPr>
          <w:rFonts w:ascii="仿宋_GB2312" w:hAnsi="仿宋_GB2312" w:cs="仿宋_GB2312" w:eastAsia="仿宋_GB2312"/>
          <w:sz w:val="28"/>
          <w:b/>
        </w:rPr>
        <w:t>中陕核工业集团监理咨询有限公司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中陕核工业集团监理咨询有限公司</w:t>
      </w:r>
      <w:r>
        <w:rPr>
          <w:rFonts w:ascii="仿宋_GB2312" w:hAnsi="仿宋_GB2312" w:cs="仿宋_GB2312" w:eastAsia="仿宋_GB2312"/>
        </w:rPr>
        <w:t>（以下简称“代理机构”）受</w:t>
      </w:r>
      <w:r>
        <w:rPr>
          <w:rFonts w:ascii="仿宋_GB2312" w:hAnsi="仿宋_GB2312" w:cs="仿宋_GB2312" w:eastAsia="仿宋_GB2312"/>
        </w:rPr>
        <w:t>陕西省农业厅机关</w:t>
      </w:r>
      <w:r>
        <w:rPr>
          <w:rFonts w:ascii="仿宋_GB2312" w:hAnsi="仿宋_GB2312" w:cs="仿宋_GB2312" w:eastAsia="仿宋_GB2312"/>
        </w:rPr>
        <w:t>委托，拟对</w:t>
      </w:r>
      <w:r>
        <w:rPr>
          <w:rFonts w:ascii="仿宋_GB2312" w:hAnsi="仿宋_GB2312" w:cs="仿宋_GB2312" w:eastAsia="仿宋_GB2312"/>
        </w:rPr>
        <w:t>2025年第三次土壤普查省级项目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ZSHZB-ZC2025-146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2025年第三次土壤普查省级项目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为贯彻落实国务院《关于开展第三次全国土壤普查的通知》(国发〔2022〕4号)、国务院第三次土壤普查领导小组办公室 《关于印发〈第三次全国土壤普查工作方案〉的通知》(农建发〔2022〕1号)、国务院第三次全国土壤普查领导小组办公室《关于印发第三次全国土壤普查成果形成工作方案的通知》（国土壤普查办发〔2025〕5号）要求，按时完成2025年陕西省第三次全国土壤普查工作任务，本次招来陕西省第三次全国土壤普查工作服务单位。</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1、具有独立承担民事责任的能力：提供注册登记凭证（营业执照、其他组织经营 的合法凭证， 自然人的提供身份证明文件）</w:t>
      </w:r>
    </w:p>
    <w:p>
      <w:pPr>
        <w:pStyle w:val="null3"/>
      </w:pPr>
      <w:r>
        <w:rPr>
          <w:rFonts w:ascii="仿宋_GB2312" w:hAnsi="仿宋_GB2312" w:cs="仿宋_GB2312" w:eastAsia="仿宋_GB2312"/>
        </w:rPr>
        <w:t>2、具有良好的商业信誉和健全的财务 会计制度：提供2023年或2024年经第三方审计的财务报 告（包括四表一注，即资产负债表、利润表、 现金流量表、所有者权益变动表及其附注）； 事业法人提供部门决算报告； /或在投标截至时 间前六个月内其基本开户银行出具的资信证明 （附《基本存款账户信息》或《银行开户许可 证》复印件）； /或财政部门认可的政府采购专 业担保机构出具的投标担保函； /或表明具有良 好的商业信誉和健全的财务会计制度的诚信声 明； 以上四种形式的资料提供任何一种即可。</w:t>
      </w:r>
    </w:p>
    <w:p>
      <w:pPr>
        <w:pStyle w:val="null3"/>
      </w:pPr>
      <w:r>
        <w:rPr>
          <w:rFonts w:ascii="仿宋_GB2312" w:hAnsi="仿宋_GB2312" w:cs="仿宋_GB2312" w:eastAsia="仿宋_GB2312"/>
        </w:rPr>
        <w:t>3、具有依法缴纳税收的良好记录：依法缴纳税收的良好记录（提供缴费所属日期 为投标截至时间前12个月内任一月份（当月不 计入）的增值税（或企业所得税）缴费凭据或 税务机关出具的完税证明/在法规范围内不需提 供的应出具书面说明和证明文件。）</w:t>
      </w:r>
    </w:p>
    <w:p>
      <w:pPr>
        <w:pStyle w:val="null3"/>
      </w:pPr>
      <w:r>
        <w:rPr>
          <w:rFonts w:ascii="仿宋_GB2312" w:hAnsi="仿宋_GB2312" w:cs="仿宋_GB2312" w:eastAsia="仿宋_GB2312"/>
        </w:rPr>
        <w:t>4、具有依法缴纳社会保障资金的良好 记录：依法缴纳社会保障资金的良好记录（提供缴费 所属日期为投标截至时间前12个月内任一月份 （当月不计入）的缴费凭据或社保机关出具的 缴费证明/在法规范围内不需提供的应出具书面 说明和证明文件。）</w:t>
      </w:r>
    </w:p>
    <w:p>
      <w:pPr>
        <w:pStyle w:val="null3"/>
      </w:pPr>
      <w:r>
        <w:rPr>
          <w:rFonts w:ascii="仿宋_GB2312" w:hAnsi="仿宋_GB2312" w:cs="仿宋_GB2312" w:eastAsia="仿宋_GB2312"/>
        </w:rPr>
        <w:t>5、具有履行合同所必需的设备和专业 技术能力：提供具有履行合同所必需的设备和专业技术能 力的书面声明</w:t>
      </w:r>
    </w:p>
    <w:p>
      <w:pPr>
        <w:pStyle w:val="null3"/>
      </w:pPr>
      <w:r>
        <w:rPr>
          <w:rFonts w:ascii="仿宋_GB2312" w:hAnsi="仿宋_GB2312" w:cs="仿宋_GB2312" w:eastAsia="仿宋_GB2312"/>
        </w:rPr>
        <w:t>6、参加政府采购活动前3年内在经营 活动中没有重大违法记录：提供参加政府采购活动前3年内在经营活动中没 有重大违法记录书面声明</w:t>
      </w:r>
    </w:p>
    <w:p>
      <w:pPr>
        <w:pStyle w:val="null3"/>
      </w:pPr>
      <w:r>
        <w:rPr>
          <w:rFonts w:ascii="仿宋_GB2312" w:hAnsi="仿宋_GB2312" w:cs="仿宋_GB2312" w:eastAsia="仿宋_GB2312"/>
        </w:rPr>
        <w:t>7、法定代表人身份证明/法定代表人授 权委托书：法定代表人身份证明/法定代表人授权委托书有效</w:t>
      </w:r>
    </w:p>
    <w:p>
      <w:pPr>
        <w:pStyle w:val="null3"/>
      </w:pPr>
      <w:r>
        <w:rPr>
          <w:rFonts w:ascii="仿宋_GB2312" w:hAnsi="仿宋_GB2312" w:cs="仿宋_GB2312" w:eastAsia="仿宋_GB2312"/>
        </w:rPr>
        <w:t>8、信用要求：“信用中国”网站（www.creditchina.gov.cn） 和“ 中国政府采购网”（ccgp.gov.cn）为供应 商信用信息查询渠道。供应商在投标截止时间 当天未被列入“信用中国（中国执行信息公开网 ) ” 网站“失信被执行人” 、“重大税收违法失信 主体” 、“政府采购严重违法失信行为记录名单” 、“ 中国政府采购网”“政府采购严重违法失信行 为记录名单” 。 采购代理机构将查询记录作为证 据留存（如网站无供应商信息的，供应商须提 供合理说明并由采购人决定是否予以采纳）。</w:t>
      </w:r>
    </w:p>
    <w:p>
      <w:pPr>
        <w:pStyle w:val="null3"/>
      </w:pPr>
      <w:r>
        <w:rPr>
          <w:rFonts w:ascii="仿宋_GB2312" w:hAnsi="仿宋_GB2312" w:cs="仿宋_GB2312" w:eastAsia="仿宋_GB2312"/>
        </w:rPr>
        <w:t>9、分包资质：分包：符合“农建发【2022】3号文”相关要求</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陕西省农业厅机关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陕西省西安市莲湖区习武园27号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陕西省农业农村厅机关经办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87321723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中陕核工业集团监理咨询有限公司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陕西省西安市灞桥区长乐东路中陕核资源大厦17层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李灿、高蕊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029-83221105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采购包1：38,380,200.00元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开户名称：中陕核工业集团监理咨询有限公司</w:t>
            </w:r>
          </w:p>
          <w:p>
            <w:pPr>
              <w:pStyle w:val="null3"/>
            </w:pPr>
            <w:r>
              <w:rPr>
                <w:rFonts w:ascii="仿宋_GB2312" w:hAnsi="仿宋_GB2312" w:cs="仿宋_GB2312" w:eastAsia="仿宋_GB2312"/>
              </w:rPr>
              <w:t>开户银行：西安银行雁塔南路支行</w:t>
            </w:r>
          </w:p>
          <w:p>
            <w:pPr>
              <w:pStyle w:val="null3"/>
            </w:pPr>
            <w:r>
              <w:rPr>
                <w:rFonts w:ascii="仿宋_GB2312" w:hAnsi="仿宋_GB2312" w:cs="仿宋_GB2312" w:eastAsia="仿宋_GB2312"/>
              </w:rPr>
              <w:t>银行账号：814011580000098584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代理服务费收费标准：代理服务费收费标准：招标代理服务费的收取按照国家计委颁布的《招标代理服务收费管理暂行办法》（计价格[2002]1980号）中收费标准（按标段）下浮20%计取。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陕西省农业厅机关</w:t>
      </w:r>
      <w:r>
        <w:rPr>
          <w:rFonts w:ascii="仿宋_GB2312" w:hAnsi="仿宋_GB2312" w:cs="仿宋_GB2312" w:eastAsia="仿宋_GB2312"/>
        </w:rPr>
        <w:t>和</w:t>
      </w:r>
      <w:r>
        <w:rPr>
          <w:rFonts w:ascii="仿宋_GB2312" w:hAnsi="仿宋_GB2312" w:cs="仿宋_GB2312" w:eastAsia="仿宋_GB2312"/>
        </w:rPr>
        <w:t>中陕核工业集团监理咨询有限公司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陕西省农业厅机关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中陕核工业集团监理咨询有限公司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陕西省农业厅机关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中陕核工业集团监理咨询有限公司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采购包1：分包比例5%，分包履行的内容：质控实验室按照样品组批，添加平行样和质控样，进行质控抽样检测；资质要求详见第4章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第三次全国土壤普查相关规范和采购人的要求，完成项目验收。验收方法：1）由中标人进行自检合格后，准备验收文件，并书面通知采购人。2）采购人确认中标人能够达到合同履约要求后，组织中标人进行项目验收，验收合格后，填写项目验收单作为对项目的最终认可。3）中标人向采购人提交项目实施过程中的所有资料, 以便采购人日后管理 和维护该项目。</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中陕核工业集团监理咨询有限公司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中陕核工业集团监理咨询有限公司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中陕核工业集团监理咨询有限公司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联系人：李灿</w:t>
      </w:r>
    </w:p>
    <w:p>
      <w:pPr>
        <w:pStyle w:val="null3"/>
      </w:pPr>
      <w:r>
        <w:rPr>
          <w:rFonts w:ascii="仿宋_GB2312" w:hAnsi="仿宋_GB2312" w:cs="仿宋_GB2312" w:eastAsia="仿宋_GB2312"/>
        </w:rPr>
        <w:t>联系电话：029-83221105</w:t>
      </w:r>
    </w:p>
    <w:p>
      <w:pPr>
        <w:pStyle w:val="null3"/>
      </w:pPr>
      <w:r>
        <w:rPr>
          <w:rFonts w:ascii="仿宋_GB2312" w:hAnsi="仿宋_GB2312" w:cs="仿宋_GB2312" w:eastAsia="仿宋_GB2312"/>
        </w:rPr>
        <w:t>地址：陕西省西安市灞桥区长乐东路中陕核资源大厦17层</w:t>
      </w:r>
    </w:p>
    <w:p>
      <w:pPr>
        <w:pStyle w:val="null3"/>
      </w:pPr>
      <w:r>
        <w:rPr>
          <w:rFonts w:ascii="仿宋_GB2312" w:hAnsi="仿宋_GB2312" w:cs="仿宋_GB2312" w:eastAsia="仿宋_GB2312"/>
        </w:rPr>
        <w:t>邮编：710043</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为贯彻落实国务院《关于开展第三次全国土壤普查的通知》(国发〔2022〕4号)、国务院第三次土壤普查领导小组办公室 《关于印发〈第三次全国土壤普查工作方案〉的通知》(农建发〔2022〕1号)、国务院第三次全国土壤普查领导小组办公室《关于印发第三次全国土壤普查成果形成工作方案的通知》（国土壤普查办发〔2025〕5号）要求，按时完成2025年陕西省第三次全国土壤普查工作任务，本次招来陕西省第三次全国土壤普查工作服务单位。</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38,380,200.00</w:t>
      </w:r>
    </w:p>
    <w:p>
      <w:pPr>
        <w:pStyle w:val="null3"/>
      </w:pPr>
      <w:r>
        <w:rPr>
          <w:rFonts w:ascii="仿宋_GB2312" w:hAnsi="仿宋_GB2312" w:cs="仿宋_GB2312" w:eastAsia="仿宋_GB2312"/>
        </w:rPr>
        <w:t>采购包最高限价（元）: 38,380,200.00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2025年第三次土壤普查省级项目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38,380,200.00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标的名称：2025年第三次土壤普查省级项目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3"/>
              <w:gridCol w:w="366"/>
              <w:gridCol w:w="212"/>
              <w:gridCol w:w="363"/>
              <w:gridCol w:w="158"/>
              <w:gridCol w:w="244"/>
              <w:gridCol w:w="291"/>
              <w:gridCol w:w="251"/>
              <w:gridCol w:w="241"/>
              <w:gridCol w:w="294"/>
            </w:tblGrid>
            <w:tr>
              <w:tc>
                <w:tcPr>
                  <w:tcW w:type="dxa" w:w="1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jc w:val="both"/>
                  </w:pPr>
                  <w:r>
                    <w:rPr>
                      <w:rFonts w:ascii="仿宋_GB2312" w:hAnsi="仿宋_GB2312" w:cs="仿宋_GB2312" w:eastAsia="仿宋_GB2312"/>
                      <w:sz w:val="19"/>
                      <w:color w:val="000000"/>
                    </w:rPr>
                    <w:t>序号</w:t>
                  </w:r>
                </w:p>
              </w:tc>
              <w:tc>
                <w:tcPr>
                  <w:tcW w:type="dxa" w:w="36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jc w:val="both"/>
                  </w:pPr>
                  <w:r>
                    <w:rPr>
                      <w:rFonts w:ascii="仿宋_GB2312" w:hAnsi="仿宋_GB2312" w:cs="仿宋_GB2312" w:eastAsia="仿宋_GB2312"/>
                      <w:sz w:val="19"/>
                      <w:color w:val="000000"/>
                    </w:rPr>
                    <w:t>标的名称</w:t>
                  </w:r>
                </w:p>
              </w:tc>
              <w:tc>
                <w:tcPr>
                  <w:tcW w:type="dxa" w:w="2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数量</w:t>
                  </w:r>
                </w:p>
              </w:tc>
              <w:tc>
                <w:tcPr>
                  <w:tcW w:type="dxa" w:w="36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jc w:val="both"/>
                  </w:pPr>
                  <w:r>
                    <w:rPr>
                      <w:rFonts w:ascii="仿宋_GB2312" w:hAnsi="仿宋_GB2312" w:cs="仿宋_GB2312" w:eastAsia="仿宋_GB2312"/>
                      <w:sz w:val="19"/>
                      <w:color w:val="000000"/>
                    </w:rPr>
                    <w:t>标的金额</w:t>
                  </w:r>
                  <w:r>
                    <w:rPr>
                      <w:rFonts w:ascii="仿宋_GB2312" w:hAnsi="仿宋_GB2312" w:cs="仿宋_GB2312" w:eastAsia="仿宋_GB2312"/>
                      <w:sz w:val="19"/>
                      <w:color w:val="000000"/>
                    </w:rPr>
                    <w:t>（元</w:t>
                  </w:r>
                  <w:r>
                    <w:rPr>
                      <w:rFonts w:ascii="仿宋_GB2312" w:hAnsi="仿宋_GB2312" w:cs="仿宋_GB2312" w:eastAsia="仿宋_GB2312"/>
                      <w:sz w:val="19"/>
                      <w:color w:val="000000"/>
                    </w:rPr>
                    <w:t xml:space="preserve"> )</w:t>
                  </w:r>
                </w:p>
              </w:tc>
              <w:tc>
                <w:tcPr>
                  <w:tcW w:type="dxa" w:w="1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jc w:val="both"/>
                  </w:pPr>
                  <w:r>
                    <w:rPr>
                      <w:rFonts w:ascii="仿宋_GB2312" w:hAnsi="仿宋_GB2312" w:cs="仿宋_GB2312" w:eastAsia="仿宋_GB2312"/>
                      <w:sz w:val="19"/>
                      <w:color w:val="000000"/>
                    </w:rPr>
                    <w:t>计</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量</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单</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位</w:t>
                  </w:r>
                </w:p>
              </w:tc>
              <w:tc>
                <w:tcPr>
                  <w:tcW w:type="dxa" w:w="2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所属</w:t>
                  </w:r>
                </w:p>
                <w:p>
                  <w:pPr>
                    <w:pStyle w:val="null3"/>
                    <w:spacing w:before="90"/>
                    <w:ind w:right="30" w:firstLine="387"/>
                    <w:jc w:val="both"/>
                  </w:pPr>
                  <w:r>
                    <w:rPr>
                      <w:rFonts w:ascii="仿宋_GB2312" w:hAnsi="仿宋_GB2312" w:cs="仿宋_GB2312" w:eastAsia="仿宋_GB2312"/>
                      <w:sz w:val="19"/>
                      <w:color w:val="000000"/>
                    </w:rPr>
                    <w:t>行业</w:t>
                  </w:r>
                </w:p>
              </w:tc>
              <w:tc>
                <w:tcPr>
                  <w:tcW w:type="dxa" w:w="2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是否</w:t>
                  </w:r>
                </w:p>
                <w:p>
                  <w:pPr>
                    <w:pStyle w:val="null3"/>
                    <w:spacing w:before="90"/>
                    <w:ind w:right="30" w:firstLine="387"/>
                    <w:jc w:val="both"/>
                  </w:pPr>
                  <w:r>
                    <w:rPr>
                      <w:rFonts w:ascii="仿宋_GB2312" w:hAnsi="仿宋_GB2312" w:cs="仿宋_GB2312" w:eastAsia="仿宋_GB2312"/>
                      <w:sz w:val="19"/>
                      <w:color w:val="000000"/>
                    </w:rPr>
                    <w:t>核心</w:t>
                  </w:r>
                </w:p>
                <w:p>
                  <w:pPr>
                    <w:pStyle w:val="null3"/>
                    <w:spacing w:before="90"/>
                    <w:ind w:right="30" w:firstLine="387"/>
                    <w:jc w:val="both"/>
                  </w:pPr>
                  <w:r>
                    <w:rPr>
                      <w:rFonts w:ascii="仿宋_GB2312" w:hAnsi="仿宋_GB2312" w:cs="仿宋_GB2312" w:eastAsia="仿宋_GB2312"/>
                      <w:sz w:val="19"/>
                      <w:color w:val="000000"/>
                    </w:rPr>
                    <w:t>产品</w:t>
                  </w:r>
                </w:p>
              </w:tc>
              <w:tc>
                <w:tcPr>
                  <w:tcW w:type="dxa" w:w="2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jc w:val="both"/>
                  </w:pPr>
                  <w:r>
                    <w:rPr>
                      <w:rFonts w:ascii="仿宋_GB2312" w:hAnsi="仿宋_GB2312" w:cs="仿宋_GB2312" w:eastAsia="仿宋_GB2312"/>
                      <w:sz w:val="19"/>
                      <w:color w:val="000000"/>
                    </w:rPr>
                    <w:t>是否允许进口产品</w:t>
                  </w:r>
                </w:p>
              </w:tc>
              <w:tc>
                <w:tcPr>
                  <w:tcW w:type="dxa" w:w="2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jc w:val="both"/>
                  </w:pPr>
                  <w:r>
                    <w:rPr>
                      <w:rFonts w:ascii="仿宋_GB2312" w:hAnsi="仿宋_GB2312" w:cs="仿宋_GB2312" w:eastAsia="仿宋_GB2312"/>
                      <w:sz w:val="19"/>
                      <w:color w:val="000000"/>
                    </w:rPr>
                    <w:t>是否属于节能产品</w:t>
                  </w:r>
                </w:p>
              </w:tc>
              <w:tc>
                <w:tcPr>
                  <w:tcW w:type="dxa" w:w="2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jc w:val="both"/>
                  </w:pPr>
                  <w:r>
                    <w:rPr>
                      <w:rFonts w:ascii="仿宋_GB2312" w:hAnsi="仿宋_GB2312" w:cs="仿宋_GB2312" w:eastAsia="仿宋_GB2312"/>
                      <w:sz w:val="19"/>
                      <w:color w:val="000000"/>
                    </w:rPr>
                    <w:t>是否属于环境标志产品</w:t>
                  </w:r>
                </w:p>
              </w:tc>
            </w:tr>
            <w:tr>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jc w:val="center"/>
                  </w:pPr>
                  <w:r>
                    <w:rPr>
                      <w:rFonts w:ascii="仿宋_GB2312" w:hAnsi="仿宋_GB2312" w:cs="仿宋_GB2312" w:eastAsia="仿宋_GB2312"/>
                      <w:sz w:val="19"/>
                      <w:color w:val="000000"/>
                    </w:rPr>
                    <w:t>1</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jc w:val="both"/>
                  </w:pPr>
                  <w:r>
                    <w:rPr>
                      <w:rFonts w:ascii="仿宋_GB2312" w:hAnsi="仿宋_GB2312" w:cs="仿宋_GB2312" w:eastAsia="仿宋_GB2312"/>
                      <w:sz w:val="19"/>
                      <w:color w:val="000000"/>
                    </w:rPr>
                    <w:t>全程质量控制</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1.00</w:t>
                  </w:r>
                </w:p>
              </w:tc>
              <w:tc>
                <w:tcPr>
                  <w:tcW w:type="dxa" w:w="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3539000</w:t>
                  </w:r>
                </w:p>
              </w:tc>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项</w:t>
                  </w:r>
                </w:p>
              </w:tc>
              <w:tc>
                <w:tcPr>
                  <w:tcW w:type="dxa" w:w="2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农、林、牧、渔业</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否</w:t>
                  </w:r>
                </w:p>
              </w:tc>
              <w:tc>
                <w:tcPr>
                  <w:tcW w:type="dxa" w:w="2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否</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否</w:t>
                  </w:r>
                </w:p>
              </w:tc>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否</w:t>
                  </w:r>
                </w:p>
              </w:tc>
            </w:tr>
            <w:tr>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jc w:val="center"/>
                  </w:pPr>
                  <w:r>
                    <w:rPr>
                      <w:rFonts w:ascii="仿宋_GB2312" w:hAnsi="仿宋_GB2312" w:cs="仿宋_GB2312" w:eastAsia="仿宋_GB2312"/>
                      <w:sz w:val="19"/>
                      <w:color w:val="000000"/>
                    </w:rPr>
                    <w:t>2</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jc w:val="both"/>
                  </w:pPr>
                  <w:r>
                    <w:rPr>
                      <w:rFonts w:ascii="仿宋_GB2312" w:hAnsi="仿宋_GB2312" w:cs="仿宋_GB2312" w:eastAsia="仿宋_GB2312"/>
                      <w:sz w:val="19"/>
                      <w:color w:val="000000"/>
                    </w:rPr>
                    <w:t>省级数据库审核</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1.00</w:t>
                  </w:r>
                </w:p>
              </w:tc>
              <w:tc>
                <w:tcPr>
                  <w:tcW w:type="dxa" w:w="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3226500</w:t>
                  </w:r>
                </w:p>
              </w:tc>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项</w:t>
                  </w:r>
                </w:p>
              </w:tc>
              <w:tc>
                <w:tcPr>
                  <w:tcW w:type="dxa" w:w="2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农、林、牧、渔业</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否</w:t>
                  </w:r>
                </w:p>
              </w:tc>
              <w:tc>
                <w:tcPr>
                  <w:tcW w:type="dxa" w:w="2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否</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否</w:t>
                  </w:r>
                </w:p>
              </w:tc>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否</w:t>
                  </w:r>
                </w:p>
              </w:tc>
            </w:tr>
            <w:tr>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jc w:val="center"/>
                  </w:pPr>
                  <w:r>
                    <w:rPr>
                      <w:rFonts w:ascii="仿宋_GB2312" w:hAnsi="仿宋_GB2312" w:cs="仿宋_GB2312" w:eastAsia="仿宋_GB2312"/>
                      <w:sz w:val="19"/>
                      <w:color w:val="000000"/>
                    </w:rPr>
                    <w:t>3</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jc w:val="both"/>
                  </w:pPr>
                  <w:r>
                    <w:rPr>
                      <w:rFonts w:ascii="仿宋_GB2312" w:hAnsi="仿宋_GB2312" w:cs="仿宋_GB2312" w:eastAsia="仿宋_GB2312"/>
                      <w:sz w:val="19"/>
                      <w:color w:val="000000"/>
                    </w:rPr>
                    <w:t>省级成果汇总</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1.00</w:t>
                  </w:r>
                </w:p>
              </w:tc>
              <w:tc>
                <w:tcPr>
                  <w:tcW w:type="dxa" w:w="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17181300</w:t>
                  </w:r>
                </w:p>
              </w:tc>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项</w:t>
                  </w:r>
                </w:p>
              </w:tc>
              <w:tc>
                <w:tcPr>
                  <w:tcW w:type="dxa" w:w="2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农、林、牧、渔业</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否</w:t>
                  </w:r>
                </w:p>
              </w:tc>
              <w:tc>
                <w:tcPr>
                  <w:tcW w:type="dxa" w:w="2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否</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否</w:t>
                  </w:r>
                </w:p>
              </w:tc>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否</w:t>
                  </w:r>
                </w:p>
              </w:tc>
            </w:tr>
            <w:tr>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jc w:val="center"/>
                  </w:pPr>
                  <w:r>
                    <w:rPr>
                      <w:rFonts w:ascii="仿宋_GB2312" w:hAnsi="仿宋_GB2312" w:cs="仿宋_GB2312" w:eastAsia="仿宋_GB2312"/>
                      <w:sz w:val="19"/>
                      <w:color w:val="000000"/>
                    </w:rPr>
                    <w:t>4</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jc w:val="both"/>
                  </w:pPr>
                  <w:r>
                    <w:rPr>
                      <w:rFonts w:ascii="仿宋_GB2312" w:hAnsi="仿宋_GB2312" w:cs="仿宋_GB2312" w:eastAsia="仿宋_GB2312"/>
                      <w:sz w:val="19"/>
                      <w:color w:val="000000"/>
                    </w:rPr>
                    <w:t>专家技术指导和培训</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1.00</w:t>
                  </w:r>
                </w:p>
              </w:tc>
              <w:tc>
                <w:tcPr>
                  <w:tcW w:type="dxa" w:w="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649600</w:t>
                  </w:r>
                </w:p>
              </w:tc>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项</w:t>
                  </w:r>
                </w:p>
              </w:tc>
              <w:tc>
                <w:tcPr>
                  <w:tcW w:type="dxa" w:w="2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农、林、牧、渔业</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否</w:t>
                  </w:r>
                </w:p>
              </w:tc>
              <w:tc>
                <w:tcPr>
                  <w:tcW w:type="dxa" w:w="2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否</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否</w:t>
                  </w:r>
                </w:p>
              </w:tc>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否</w:t>
                  </w:r>
                </w:p>
              </w:tc>
            </w:tr>
            <w:tr>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jc w:val="center"/>
                  </w:pPr>
                  <w:r>
                    <w:rPr>
                      <w:rFonts w:ascii="仿宋_GB2312" w:hAnsi="仿宋_GB2312" w:cs="仿宋_GB2312" w:eastAsia="仿宋_GB2312"/>
                      <w:sz w:val="19"/>
                      <w:color w:val="000000"/>
                    </w:rPr>
                    <w:t>5</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jc w:val="both"/>
                  </w:pPr>
                  <w:r>
                    <w:rPr>
                      <w:rFonts w:ascii="仿宋_GB2312" w:hAnsi="仿宋_GB2312" w:cs="仿宋_GB2312" w:eastAsia="仿宋_GB2312"/>
                      <w:sz w:val="19"/>
                      <w:color w:val="000000"/>
                    </w:rPr>
                    <w:t>三普工作宣传</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1.00</w:t>
                  </w:r>
                </w:p>
              </w:tc>
              <w:tc>
                <w:tcPr>
                  <w:tcW w:type="dxa" w:w="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460000</w:t>
                  </w:r>
                </w:p>
              </w:tc>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项</w:t>
                  </w:r>
                </w:p>
              </w:tc>
              <w:tc>
                <w:tcPr>
                  <w:tcW w:type="dxa" w:w="2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农、林、牧、渔业</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否</w:t>
                  </w:r>
                </w:p>
              </w:tc>
              <w:tc>
                <w:tcPr>
                  <w:tcW w:type="dxa" w:w="2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否</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否</w:t>
                  </w:r>
                </w:p>
              </w:tc>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否</w:t>
                  </w:r>
                </w:p>
              </w:tc>
            </w:tr>
            <w:tr>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jc w:val="center"/>
                  </w:pPr>
                  <w:r>
                    <w:rPr>
                      <w:rFonts w:ascii="仿宋_GB2312" w:hAnsi="仿宋_GB2312" w:cs="仿宋_GB2312" w:eastAsia="仿宋_GB2312"/>
                      <w:sz w:val="19"/>
                      <w:color w:val="000000"/>
                    </w:rPr>
                    <w:t>6</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jc w:val="both"/>
                  </w:pPr>
                  <w:r>
                    <w:rPr>
                      <w:rFonts w:ascii="仿宋_GB2312" w:hAnsi="仿宋_GB2312" w:cs="仿宋_GB2312" w:eastAsia="仿宋_GB2312"/>
                      <w:sz w:val="19"/>
                      <w:color w:val="000000"/>
                    </w:rPr>
                    <w:t>省级成果验收</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1.00</w:t>
                  </w:r>
                </w:p>
              </w:tc>
              <w:tc>
                <w:tcPr>
                  <w:tcW w:type="dxa" w:w="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296800</w:t>
                  </w:r>
                </w:p>
              </w:tc>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项</w:t>
                  </w:r>
                </w:p>
              </w:tc>
              <w:tc>
                <w:tcPr>
                  <w:tcW w:type="dxa" w:w="2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农、林、牧、渔业</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否</w:t>
                  </w:r>
                </w:p>
              </w:tc>
              <w:tc>
                <w:tcPr>
                  <w:tcW w:type="dxa" w:w="2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否</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否</w:t>
                  </w:r>
                </w:p>
              </w:tc>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否</w:t>
                  </w:r>
                </w:p>
              </w:tc>
            </w:tr>
            <w:tr>
              <w:tc>
                <w:tcPr>
                  <w:tcW w:type="dxa" w:w="1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jc w:val="center"/>
                  </w:pPr>
                  <w:r>
                    <w:rPr>
                      <w:rFonts w:ascii="仿宋_GB2312" w:hAnsi="仿宋_GB2312" w:cs="仿宋_GB2312" w:eastAsia="仿宋_GB2312"/>
                      <w:sz w:val="19"/>
                      <w:color w:val="000000"/>
                    </w:rPr>
                    <w:t>7</w:t>
                  </w: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jc w:val="both"/>
                  </w:pPr>
                  <w:r>
                    <w:rPr>
                      <w:rFonts w:ascii="仿宋_GB2312" w:hAnsi="仿宋_GB2312" w:cs="仿宋_GB2312" w:eastAsia="仿宋_GB2312"/>
                      <w:sz w:val="19"/>
                      <w:color w:val="000000"/>
                    </w:rPr>
                    <w:t>土壤样本库技术改造</w:t>
                  </w:r>
                </w:p>
              </w:tc>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1.00</w:t>
                  </w:r>
                </w:p>
              </w:tc>
              <w:tc>
                <w:tcPr>
                  <w:tcW w:type="dxa" w:w="3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13027000</w:t>
                  </w:r>
                </w:p>
              </w:tc>
              <w:tc>
                <w:tcPr>
                  <w:tcW w:type="dxa" w:w="1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项</w:t>
                  </w:r>
                </w:p>
              </w:tc>
              <w:tc>
                <w:tcPr>
                  <w:tcW w:type="dxa" w:w="2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农、林、牧、渔业</w:t>
                  </w:r>
                </w:p>
              </w:tc>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否</w:t>
                  </w:r>
                </w:p>
              </w:tc>
              <w:tc>
                <w:tcPr>
                  <w:tcW w:type="dxa" w:w="2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否</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否</w:t>
                  </w:r>
                </w:p>
              </w:tc>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right="30" w:firstLine="387"/>
                    <w:jc w:val="both"/>
                  </w:pPr>
                  <w:r>
                    <w:rPr>
                      <w:rFonts w:ascii="仿宋_GB2312" w:hAnsi="仿宋_GB2312" w:cs="仿宋_GB2312" w:eastAsia="仿宋_GB2312"/>
                      <w:sz w:val="19"/>
                      <w:color w:val="000000"/>
                    </w:rPr>
                    <w:t>否</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150"/>
              <w:ind w:left="390"/>
              <w:jc w:val="left"/>
            </w:pPr>
            <w:r>
              <w:rPr>
                <w:rFonts w:ascii="仿宋_GB2312" w:hAnsi="仿宋_GB2312" w:cs="仿宋_GB2312" w:eastAsia="仿宋_GB2312"/>
                <w:sz w:val="19"/>
                <w:color w:val="000000"/>
              </w:rPr>
              <w:t>全程质量控制</w:t>
            </w:r>
          </w:p>
          <w:tbl>
            <w:tblPr>
              <w:tblInd w:type="dxa" w:w="105"/>
              <w:tblBorders>
                <w:top w:val="none" w:color="000000" w:sz="4"/>
                <w:left w:val="none" w:color="000000" w:sz="4"/>
                <w:bottom w:val="none" w:color="000000" w:sz="4"/>
                <w:right w:val="none" w:color="000000" w:sz="4"/>
                <w:insideH w:val="none"/>
                <w:insideV w:val="none"/>
              </w:tblBorders>
            </w:tblPr>
            <w:tblGrid>
              <w:gridCol w:w="372"/>
              <w:gridCol w:w="241"/>
              <w:gridCol w:w="1941"/>
            </w:tblGrid>
            <w:tr>
              <w:tc>
                <w:tcPr>
                  <w:tcW w:type="dxa" w:w="3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left"/>
                  </w:pPr>
                  <w:r>
                    <w:rPr>
                      <w:rFonts w:ascii="仿宋_GB2312" w:hAnsi="仿宋_GB2312" w:cs="仿宋_GB2312" w:eastAsia="仿宋_GB2312"/>
                      <w:sz w:val="19"/>
                      <w:color w:val="000000"/>
                    </w:rPr>
                    <w:t>参数性质</w:t>
                  </w:r>
                </w:p>
              </w:tc>
              <w:tc>
                <w:tcPr>
                  <w:tcW w:type="dxa" w:w="2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left"/>
                  </w:pPr>
                  <w:r>
                    <w:rPr>
                      <w:rFonts w:ascii="仿宋_GB2312" w:hAnsi="仿宋_GB2312" w:cs="仿宋_GB2312" w:eastAsia="仿宋_GB2312"/>
                      <w:sz w:val="19"/>
                      <w:color w:val="000000"/>
                    </w:rPr>
                    <w:t>序号</w:t>
                  </w:r>
                </w:p>
              </w:tc>
              <w:tc>
                <w:tcPr>
                  <w:tcW w:type="dxa" w:w="19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center"/>
                  </w:pPr>
                  <w:r>
                    <w:rPr>
                      <w:rFonts w:ascii="仿宋_GB2312" w:hAnsi="仿宋_GB2312" w:cs="仿宋_GB2312" w:eastAsia="仿宋_GB2312"/>
                      <w:sz w:val="19"/>
                      <w:color w:val="000000"/>
                    </w:rPr>
                    <w:t>技术参数与性能指标</w:t>
                  </w:r>
                </w:p>
              </w:tc>
            </w:tr>
            <w:tr>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19"/>
                      <w:color w:val="000000"/>
                    </w:rPr>
                    <w:t>★</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left"/>
                  </w:pPr>
                  <w:r>
                    <w:rPr>
                      <w:rFonts w:ascii="仿宋_GB2312" w:hAnsi="仿宋_GB2312" w:cs="仿宋_GB2312" w:eastAsia="仿宋_GB2312"/>
                      <w:sz w:val="19"/>
                      <w:color w:val="000000"/>
                    </w:rPr>
                    <w:t>1</w:t>
                  </w:r>
                </w:p>
              </w:tc>
              <w:tc>
                <w:tcPr>
                  <w:tcW w:type="dxa" w:w="19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rFonts w:ascii="仿宋_GB2312" w:hAnsi="仿宋_GB2312" w:cs="仿宋_GB2312" w:eastAsia="仿宋_GB2312"/>
                      <w:sz w:val="19"/>
                      <w:color w:val="000000"/>
                    </w:rPr>
                    <w:t>对全省</w:t>
                  </w:r>
                  <w:r>
                    <w:rPr>
                      <w:rFonts w:ascii="仿宋_GB2312" w:hAnsi="仿宋_GB2312" w:cs="仿宋_GB2312" w:eastAsia="仿宋_GB2312"/>
                      <w:sz w:val="19"/>
                      <w:color w:val="000000"/>
                    </w:rPr>
                    <w:t>97</w:t>
                  </w:r>
                  <w:r>
                    <w:rPr>
                      <w:rFonts w:ascii="仿宋_GB2312" w:hAnsi="仿宋_GB2312" w:cs="仿宋_GB2312" w:eastAsia="仿宋_GB2312"/>
                      <w:sz w:val="19"/>
                      <w:color w:val="000000"/>
                    </w:rPr>
                    <w:t>个县（市、区）土壤普查的样品制备、保存与流转外部质量进行监督检查；组织完成样品检测质控、留样抽检、飞行检查、省级质控实验室密码样转码等。</w:t>
                  </w:r>
                  <w:r>
                    <w:rPr>
                      <w:rFonts w:ascii="仿宋_GB2312" w:hAnsi="仿宋_GB2312" w:cs="仿宋_GB2312" w:eastAsia="仿宋_GB2312"/>
                      <w:sz w:val="19"/>
                      <w:color w:val="000000"/>
                    </w:rPr>
                    <w:t>详见《</w:t>
                  </w:r>
                  <w:r>
                    <w:rPr>
                      <w:rFonts w:ascii="仿宋_GB2312" w:hAnsi="仿宋_GB2312" w:cs="仿宋_GB2312" w:eastAsia="仿宋_GB2312"/>
                      <w:sz w:val="19"/>
                      <w:color w:val="000000"/>
                    </w:rPr>
                    <w:t>第三次全国土壤普查技术规程规范</w:t>
                  </w:r>
                  <w:r>
                    <w:rPr>
                      <w:rFonts w:ascii="仿宋_GB2312" w:hAnsi="仿宋_GB2312" w:cs="仿宋_GB2312" w:eastAsia="仿宋_GB2312"/>
                      <w:sz w:val="19"/>
                      <w:color w:val="000000"/>
                    </w:rPr>
                    <w:t>》、《陕西省第三次全国土壤普查全程质量控制实施方案》（陕三普办发</w:t>
                  </w:r>
                  <w:r>
                    <w:rPr>
                      <w:rFonts w:ascii="仿宋_GB2312" w:hAnsi="仿宋_GB2312" w:cs="仿宋_GB2312" w:eastAsia="仿宋_GB2312"/>
                      <w:sz w:val="19"/>
                      <w:color w:val="000000"/>
                    </w:rPr>
                    <w:t>〔</w:t>
                  </w:r>
                  <w:r>
                    <w:rPr>
                      <w:rFonts w:ascii="仿宋_GB2312" w:hAnsi="仿宋_GB2312" w:cs="仿宋_GB2312" w:eastAsia="仿宋_GB2312"/>
                      <w:sz w:val="19"/>
                      <w:color w:val="000000"/>
                    </w:rPr>
                    <w:t>202</w:t>
                  </w:r>
                  <w:r>
                    <w:rPr>
                      <w:rFonts w:ascii="仿宋_GB2312" w:hAnsi="仿宋_GB2312" w:cs="仿宋_GB2312" w:eastAsia="仿宋_GB2312"/>
                      <w:sz w:val="19"/>
                      <w:color w:val="000000"/>
                    </w:rPr>
                    <w:t>3</w:t>
                  </w:r>
                  <w:r>
                    <w:rPr>
                      <w:rFonts w:ascii="仿宋_GB2312" w:hAnsi="仿宋_GB2312" w:cs="仿宋_GB2312" w:eastAsia="仿宋_GB2312"/>
                      <w:sz w:val="19"/>
                      <w:color w:val="000000"/>
                    </w:rPr>
                    <w:t>〕</w:t>
                  </w:r>
                  <w:r>
                    <w:rPr>
                      <w:rFonts w:ascii="仿宋_GB2312" w:hAnsi="仿宋_GB2312" w:cs="仿宋_GB2312" w:eastAsia="仿宋_GB2312"/>
                      <w:sz w:val="19"/>
                      <w:color w:val="000000"/>
                    </w:rPr>
                    <w:t>26</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号</w:t>
                  </w:r>
                  <w:r>
                    <w:rPr>
                      <w:rFonts w:ascii="仿宋_GB2312" w:hAnsi="仿宋_GB2312" w:cs="仿宋_GB2312" w:eastAsia="仿宋_GB2312"/>
                      <w:sz w:val="19"/>
                      <w:color w:val="000000"/>
                    </w:rPr>
                    <w:t>）。</w:t>
                  </w:r>
                </w:p>
              </w:tc>
            </w:tr>
            <w:tr>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left"/>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19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样品制备、保存与流转质控检查：按照《第三次全国土壤普查外业调查与采样技术规范》相关要求，统筹安排样品制备、保存与流转质量监督检查，各环节分别不低于全省总样量的</w:t>
                  </w:r>
                  <w:r>
                    <w:rPr>
                      <w:rFonts w:ascii="仿宋_GB2312" w:hAnsi="仿宋_GB2312" w:cs="仿宋_GB2312" w:eastAsia="仿宋_GB2312"/>
                      <w:sz w:val="19"/>
                      <w:color w:val="000000"/>
                    </w:rPr>
                    <w:t>0.5%</w:t>
                  </w:r>
                  <w:r>
                    <w:rPr>
                      <w:rFonts w:ascii="仿宋_GB2312" w:hAnsi="仿宋_GB2312" w:cs="仿宋_GB2312" w:eastAsia="仿宋_GB2312"/>
                      <w:sz w:val="19"/>
                      <w:color w:val="000000"/>
                    </w:rPr>
                    <w:t>。</w:t>
                  </w:r>
                </w:p>
                <w:p>
                  <w:pPr>
                    <w:pStyle w:val="null3"/>
                    <w:spacing w:before="150"/>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样品检测质控与留样抽检：依据检测样品数据及质控要求，按照样品组批，添加平行样和质控样。留样抽检省级抽检量不低于全省检测样品量的</w:t>
                  </w:r>
                  <w:r>
                    <w:rPr>
                      <w:rFonts w:ascii="仿宋_GB2312" w:hAnsi="仿宋_GB2312" w:cs="仿宋_GB2312" w:eastAsia="仿宋_GB2312"/>
                      <w:sz w:val="19"/>
                      <w:color w:val="000000"/>
                    </w:rPr>
                    <w:t>0.5%</w:t>
                  </w:r>
                  <w:r>
                    <w:rPr>
                      <w:rFonts w:ascii="仿宋_GB2312" w:hAnsi="仿宋_GB2312" w:cs="仿宋_GB2312" w:eastAsia="仿宋_GB2312"/>
                      <w:sz w:val="19"/>
                      <w:color w:val="000000"/>
                    </w:rPr>
                    <w:t>。</w:t>
                  </w:r>
                </w:p>
                <w:p>
                  <w:pPr>
                    <w:pStyle w:val="null3"/>
                    <w:spacing w:before="150"/>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飞行检查：覆盖年度承担任务的检测实验室，对样品制备、保存、流转和检测等核心环节开展检查。重点检查实验室内部质量保证与质量控制方案实施情况、仪器设备、试剂溶液和有关原始记录等，必要时安排专家派驻，全程跟进核心环节。</w:t>
                  </w:r>
                </w:p>
                <w:p>
                  <w:pPr>
                    <w:pStyle w:val="null3"/>
                    <w:spacing w:before="150"/>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数据审核：数据审核包括县级、省级土壤普查办开展数据审核及全国土壤普查办开展数据监督检查等。审核外业调查数据和内业检测结果的完整性、规范性和准确性，外业调查数据审核率和内业检测结果审核率均为</w:t>
                  </w:r>
                  <w:r>
                    <w:rPr>
                      <w:rFonts w:ascii="仿宋_GB2312" w:hAnsi="仿宋_GB2312" w:cs="仿宋_GB2312" w:eastAsia="仿宋_GB2312"/>
                      <w:sz w:val="19"/>
                      <w:color w:val="000000"/>
                    </w:rPr>
                    <w:t>100%</w:t>
                  </w:r>
                  <w:r>
                    <w:rPr>
                      <w:rFonts w:ascii="仿宋_GB2312" w:hAnsi="仿宋_GB2312" w:cs="仿宋_GB2312" w:eastAsia="仿宋_GB2312"/>
                      <w:sz w:val="19"/>
                      <w:color w:val="000000"/>
                    </w:rPr>
                    <w:t>。</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150"/>
              <w:ind w:left="390"/>
              <w:jc w:val="left"/>
            </w:pPr>
            <w:r>
              <w:rPr>
                <w:rFonts w:ascii="仿宋_GB2312" w:hAnsi="仿宋_GB2312" w:cs="仿宋_GB2312" w:eastAsia="仿宋_GB2312"/>
                <w:sz w:val="19"/>
                <w:color w:val="000000"/>
              </w:rPr>
              <w:t>省级数据库审核</w:t>
            </w:r>
            <w:r>
              <w:rPr>
                <w:rFonts w:ascii="仿宋_GB2312" w:hAnsi="仿宋_GB2312" w:cs="仿宋_GB2312" w:eastAsia="仿宋_GB2312"/>
                <w:sz w:val="21"/>
                <w:color w:val="000000"/>
              </w:rPr>
              <w:t xml:space="preserve">  </w:t>
            </w:r>
          </w:p>
          <w:tbl>
            <w:tblPr>
              <w:tblInd w:type="dxa" w:w="105"/>
              <w:tblBorders>
                <w:top w:val="none" w:color="000000" w:sz="4"/>
                <w:left w:val="none" w:color="000000" w:sz="4"/>
                <w:bottom w:val="none" w:color="000000" w:sz="4"/>
                <w:right w:val="none" w:color="000000" w:sz="4"/>
                <w:insideH w:val="none"/>
                <w:insideV w:val="none"/>
              </w:tblBorders>
            </w:tblPr>
            <w:tblGrid>
              <w:gridCol w:w="371"/>
              <w:gridCol w:w="241"/>
              <w:gridCol w:w="1942"/>
            </w:tblGrid>
            <w:tr>
              <w:tc>
                <w:tcPr>
                  <w:tcW w:type="dxa" w:w="3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left"/>
                  </w:pPr>
                  <w:r>
                    <w:rPr>
                      <w:rFonts w:ascii="仿宋_GB2312" w:hAnsi="仿宋_GB2312" w:cs="仿宋_GB2312" w:eastAsia="仿宋_GB2312"/>
                      <w:sz w:val="19"/>
                      <w:color w:val="000000"/>
                    </w:rPr>
                    <w:t>参数性质</w:t>
                  </w:r>
                </w:p>
              </w:tc>
              <w:tc>
                <w:tcPr>
                  <w:tcW w:type="dxa" w:w="2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left"/>
                  </w:pPr>
                  <w:r>
                    <w:rPr>
                      <w:rFonts w:ascii="仿宋_GB2312" w:hAnsi="仿宋_GB2312" w:cs="仿宋_GB2312" w:eastAsia="仿宋_GB2312"/>
                      <w:sz w:val="19"/>
                      <w:color w:val="000000"/>
                    </w:rPr>
                    <w:t>序号</w:t>
                  </w:r>
                </w:p>
              </w:tc>
              <w:tc>
                <w:tcPr>
                  <w:tcW w:type="dxa" w:w="194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rFonts w:ascii="仿宋_GB2312" w:hAnsi="仿宋_GB2312" w:cs="仿宋_GB2312" w:eastAsia="仿宋_GB2312"/>
                      <w:sz w:val="19"/>
                      <w:color w:val="000000"/>
                    </w:rPr>
                    <w:t>技术参数与性能指标</w:t>
                  </w:r>
                </w:p>
              </w:tc>
            </w:tr>
            <w:tr>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19"/>
                      <w:color w:val="000000"/>
                    </w:rPr>
                    <w:t>★</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left"/>
                  </w:pPr>
                  <w:r>
                    <w:rPr>
                      <w:rFonts w:ascii="仿宋_GB2312" w:hAnsi="仿宋_GB2312" w:cs="仿宋_GB2312" w:eastAsia="仿宋_GB2312"/>
                      <w:sz w:val="19"/>
                      <w:color w:val="000000"/>
                    </w:rPr>
                    <w:t>1</w:t>
                  </w:r>
                </w:p>
              </w:tc>
              <w:tc>
                <w:tcPr>
                  <w:tcW w:type="dxa" w:w="1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rFonts w:ascii="仿宋_GB2312" w:hAnsi="仿宋_GB2312" w:cs="仿宋_GB2312" w:eastAsia="仿宋_GB2312"/>
                      <w:sz w:val="19"/>
                      <w:color w:val="000000"/>
                    </w:rPr>
                    <w:t>省级数据库审核</w:t>
                  </w:r>
                  <w:r>
                    <w:rPr>
                      <w:rFonts w:ascii="仿宋_GB2312" w:hAnsi="仿宋_GB2312" w:cs="仿宋_GB2312" w:eastAsia="仿宋_GB2312"/>
                      <w:sz w:val="19"/>
                      <w:color w:val="000000"/>
                    </w:rPr>
                    <w:t>：完成</w:t>
                  </w:r>
                  <w:r>
                    <w:rPr>
                      <w:rFonts w:ascii="仿宋_GB2312" w:hAnsi="仿宋_GB2312" w:cs="仿宋_GB2312" w:eastAsia="仿宋_GB2312"/>
                      <w:sz w:val="19"/>
                      <w:color w:val="000000"/>
                    </w:rPr>
                    <w:t>97</w:t>
                  </w:r>
                  <w:r>
                    <w:rPr>
                      <w:rFonts w:ascii="仿宋_GB2312" w:hAnsi="仿宋_GB2312" w:cs="仿宋_GB2312" w:eastAsia="仿宋_GB2312"/>
                      <w:sz w:val="19"/>
                      <w:color w:val="000000"/>
                    </w:rPr>
                    <w:t>个区县部分平台外业调查采样数据及内业检测审核、县级成果文字及图件审核。</w:t>
                  </w:r>
                </w:p>
              </w:tc>
            </w:tr>
            <w:tr>
              <w:tc>
                <w:tcPr>
                  <w:tcW w:type="dxa" w:w="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left"/>
                  </w:pP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1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rFonts w:ascii="仿宋_GB2312" w:hAnsi="仿宋_GB2312" w:cs="仿宋_GB2312" w:eastAsia="仿宋_GB2312"/>
                      <w:sz w:val="19"/>
                      <w:color w:val="000000"/>
                    </w:rPr>
                    <w:t>对全省</w:t>
                  </w:r>
                  <w:r>
                    <w:rPr>
                      <w:rFonts w:ascii="仿宋_GB2312" w:hAnsi="仿宋_GB2312" w:cs="仿宋_GB2312" w:eastAsia="仿宋_GB2312"/>
                      <w:sz w:val="19"/>
                      <w:color w:val="000000"/>
                    </w:rPr>
                    <w:t>97</w:t>
                  </w:r>
                  <w:r>
                    <w:rPr>
                      <w:rFonts w:ascii="仿宋_GB2312" w:hAnsi="仿宋_GB2312" w:cs="仿宋_GB2312" w:eastAsia="仿宋_GB2312"/>
                      <w:sz w:val="19"/>
                      <w:color w:val="000000"/>
                    </w:rPr>
                    <w:t>个县（区）土壤普查形成的数据进行系统性质量审查与标准化校验，包含外业调查采样、内业检测、县级成果文字及图件等数据，用于建立省级数据库</w:t>
                  </w:r>
                  <w:r>
                    <w:rPr>
                      <w:rFonts w:ascii="仿宋_GB2312" w:hAnsi="仿宋_GB2312" w:cs="仿宋_GB2312" w:eastAsia="仿宋_GB2312"/>
                      <w:sz w:val="19"/>
                      <w:color w:val="000000"/>
                    </w:rPr>
                    <w:t>。</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150"/>
              <w:ind w:left="390"/>
              <w:jc w:val="left"/>
            </w:pPr>
            <w:r>
              <w:rPr>
                <w:rFonts w:ascii="仿宋_GB2312" w:hAnsi="仿宋_GB2312" w:cs="仿宋_GB2312" w:eastAsia="仿宋_GB2312"/>
                <w:sz w:val="19"/>
                <w:color w:val="000000"/>
              </w:rPr>
              <w:t>省级成果汇总</w:t>
            </w:r>
          </w:p>
          <w:tbl>
            <w:tblPr>
              <w:tblBorders>
                <w:top w:val="none" w:color="000000" w:sz="4"/>
                <w:left w:val="none" w:color="000000" w:sz="4"/>
                <w:bottom w:val="none" w:color="000000" w:sz="4"/>
                <w:right w:val="none" w:color="000000" w:sz="4"/>
                <w:insideH w:val="none"/>
                <w:insideV w:val="none"/>
              </w:tblBorders>
            </w:tblPr>
            <w:tblGrid>
              <w:gridCol w:w="350"/>
              <w:gridCol w:w="259"/>
              <w:gridCol w:w="1944"/>
            </w:tblGrid>
            <w:tr>
              <w:tc>
                <w:tcPr>
                  <w:tcW w:type="dxa" w:w="3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left"/>
                  </w:pPr>
                  <w:r>
                    <w:rPr>
                      <w:rFonts w:ascii="仿宋_GB2312" w:hAnsi="仿宋_GB2312" w:cs="仿宋_GB2312" w:eastAsia="仿宋_GB2312"/>
                      <w:sz w:val="19"/>
                      <w:color w:val="000000"/>
                    </w:rPr>
                    <w:t>参数性质</w:t>
                  </w:r>
                </w:p>
              </w:tc>
              <w:tc>
                <w:tcPr>
                  <w:tcW w:type="dxa" w:w="2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left"/>
                  </w:pPr>
                  <w:r>
                    <w:rPr>
                      <w:rFonts w:ascii="仿宋_GB2312" w:hAnsi="仿宋_GB2312" w:cs="仿宋_GB2312" w:eastAsia="仿宋_GB2312"/>
                      <w:sz w:val="19"/>
                      <w:color w:val="000000"/>
                    </w:rPr>
                    <w:t>序号</w:t>
                  </w:r>
                </w:p>
              </w:tc>
              <w:tc>
                <w:tcPr>
                  <w:tcW w:type="dxa" w:w="19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center"/>
                  </w:pPr>
                  <w:r>
                    <w:rPr>
                      <w:rFonts w:ascii="仿宋_GB2312" w:hAnsi="仿宋_GB2312" w:cs="仿宋_GB2312" w:eastAsia="仿宋_GB2312"/>
                      <w:sz w:val="19"/>
                      <w:color w:val="000000"/>
                    </w:rPr>
                    <w:t>技术参数与性能指标</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19"/>
                      <w:color w:val="000000"/>
                    </w:rPr>
                    <w:t>★</w:t>
                  </w:r>
                </w:p>
              </w:tc>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left"/>
                  </w:pPr>
                  <w:r>
                    <w:rPr>
                      <w:rFonts w:ascii="仿宋_GB2312" w:hAnsi="仿宋_GB2312" w:cs="仿宋_GB2312" w:eastAsia="仿宋_GB2312"/>
                      <w:sz w:val="19"/>
                      <w:color w:val="000000"/>
                    </w:rPr>
                    <w:t>1</w:t>
                  </w:r>
                </w:p>
              </w:tc>
              <w:tc>
                <w:tcPr>
                  <w:tcW w:type="dxa" w:w="1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both"/>
                  </w:pPr>
                  <w:r>
                    <w:rPr>
                      <w:rFonts w:ascii="仿宋_GB2312" w:hAnsi="仿宋_GB2312" w:cs="仿宋_GB2312" w:eastAsia="仿宋_GB2312"/>
                      <w:sz w:val="19"/>
                      <w:color w:val="000000"/>
                    </w:rPr>
                    <w:t>省级成果汇总</w:t>
                  </w:r>
                  <w:r>
                    <w:rPr>
                      <w:rFonts w:ascii="仿宋_GB2312" w:hAnsi="仿宋_GB2312" w:cs="仿宋_GB2312" w:eastAsia="仿宋_GB2312"/>
                      <w:sz w:val="19"/>
                      <w:color w:val="000000"/>
                    </w:rPr>
                    <w:t>：</w:t>
                  </w:r>
                  <w:r>
                    <w:rPr>
                      <w:rFonts w:ascii="仿宋_GB2312" w:hAnsi="仿宋_GB2312" w:cs="仿宋_GB2312" w:eastAsia="仿宋_GB2312"/>
                      <w:sz w:val="19"/>
                      <w:color w:val="000000"/>
                    </w:rPr>
                    <w:t>编制陕西省土壤分类系统、陕西省土壤类型制图、陕西省土壤属性制图用于支撑对全省</w:t>
                  </w:r>
                  <w:r>
                    <w:rPr>
                      <w:rFonts w:ascii="仿宋_GB2312" w:hAnsi="仿宋_GB2312" w:cs="仿宋_GB2312" w:eastAsia="仿宋_GB2312"/>
                      <w:sz w:val="19"/>
                      <w:color w:val="000000"/>
                    </w:rPr>
                    <w:t>97</w:t>
                  </w:r>
                  <w:r>
                    <w:rPr>
                      <w:rFonts w:ascii="仿宋_GB2312" w:hAnsi="仿宋_GB2312" w:cs="仿宋_GB2312" w:eastAsia="仿宋_GB2312"/>
                      <w:sz w:val="19"/>
                      <w:color w:val="000000"/>
                    </w:rPr>
                    <w:t>个县（区）成果汇总工作。编制《陕西土壤》、《陕西土种志》、《陕西土壤普查数据集》、《陕西土壤图集》、耕地质量等级评价、土特产品土壤适宜性评价等各项省级成果。</w:t>
                  </w:r>
                </w:p>
              </w:tc>
            </w:tr>
            <w:tr>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left"/>
                  </w:pPr>
                </w:p>
              </w:tc>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1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rFonts w:ascii="仿宋_GB2312" w:hAnsi="仿宋_GB2312" w:cs="仿宋_GB2312" w:eastAsia="仿宋_GB2312"/>
                      <w:sz w:val="19"/>
                      <w:color w:val="000000"/>
                    </w:rPr>
                    <w:t xml:space="preserve">1 </w:t>
                  </w:r>
                  <w:r>
                    <w:rPr>
                      <w:rFonts w:ascii="仿宋_GB2312" w:hAnsi="仿宋_GB2312" w:cs="仿宋_GB2312" w:eastAsia="仿宋_GB2312"/>
                      <w:sz w:val="19"/>
                      <w:color w:val="000000"/>
                    </w:rPr>
                    <w:t>土壤类型名称校核：</w:t>
                  </w:r>
                </w:p>
                <w:p>
                  <w:pPr>
                    <w:pStyle w:val="null3"/>
                    <w:spacing w:before="150"/>
                    <w:jc w:val="left"/>
                  </w:pPr>
                  <w:r>
                    <w:rPr>
                      <w:rFonts w:ascii="仿宋_GB2312" w:hAnsi="仿宋_GB2312" w:cs="仿宋_GB2312" w:eastAsia="仿宋_GB2312"/>
                      <w:sz w:val="19"/>
                      <w:color w:val="000000"/>
                    </w:rPr>
                    <w:t>土壤类型图纠偏汇总（</w:t>
                  </w:r>
                  <w:r>
                    <w:rPr>
                      <w:rFonts w:ascii="仿宋_GB2312" w:hAnsi="仿宋_GB2312" w:cs="仿宋_GB2312" w:eastAsia="仿宋_GB2312"/>
                      <w:sz w:val="19"/>
                      <w:color w:val="000000"/>
                    </w:rPr>
                    <w:t>1:50000</w:t>
                  </w:r>
                  <w:r>
                    <w:rPr>
                      <w:rFonts w:ascii="仿宋_GB2312" w:hAnsi="仿宋_GB2312" w:cs="仿宋_GB2312" w:eastAsia="仿宋_GB2312"/>
                      <w:sz w:val="19"/>
                      <w:color w:val="000000"/>
                    </w:rPr>
                    <w:t>底图绘制），土壤类型图纠偏校核（</w:t>
                  </w:r>
                  <w:r>
                    <w:rPr>
                      <w:rFonts w:ascii="仿宋_GB2312" w:hAnsi="仿宋_GB2312" w:cs="仿宋_GB2312" w:eastAsia="仿宋_GB2312"/>
                      <w:sz w:val="19"/>
                      <w:color w:val="000000"/>
                    </w:rPr>
                    <w:t>1:50000</w:t>
                  </w:r>
                  <w:r>
                    <w:rPr>
                      <w:rFonts w:ascii="仿宋_GB2312" w:hAnsi="仿宋_GB2312" w:cs="仿宋_GB2312" w:eastAsia="仿宋_GB2312"/>
                      <w:sz w:val="19"/>
                      <w:color w:val="000000"/>
                    </w:rPr>
                    <w:t>底图绘制）；</w:t>
                  </w:r>
                </w:p>
                <w:p>
                  <w:pPr>
                    <w:pStyle w:val="null3"/>
                    <w:spacing w:before="150"/>
                    <w:jc w:val="left"/>
                  </w:pPr>
                  <w:r>
                    <w:rPr>
                      <w:rFonts w:ascii="仿宋_GB2312" w:hAnsi="仿宋_GB2312" w:cs="仿宋_GB2312" w:eastAsia="仿宋_GB2312"/>
                      <w:sz w:val="19"/>
                      <w:color w:val="000000"/>
                    </w:rPr>
                    <w:t xml:space="preserve">2 </w:t>
                  </w:r>
                  <w:r>
                    <w:rPr>
                      <w:rFonts w:ascii="仿宋_GB2312" w:hAnsi="仿宋_GB2312" w:cs="仿宋_GB2312" w:eastAsia="仿宋_GB2312"/>
                      <w:sz w:val="19"/>
                      <w:color w:val="000000"/>
                    </w:rPr>
                    <w:t>陕西省土壤普查工作报告：全面总结全省土壤普查工作开展情况。阐述土壤普查背景、目的和意义等，包含工作组织、方案编制、队伍建设、技术指导、宣传、保障等情况，并介绍全省普查范围、底图、样点、外业内业、质量控制、成果汇总等任务完成情况。</w:t>
                  </w:r>
                </w:p>
                <w:p>
                  <w:pPr>
                    <w:pStyle w:val="null3"/>
                    <w:spacing w:before="150"/>
                    <w:jc w:val="left"/>
                  </w:pPr>
                  <w:r>
                    <w:rPr>
                      <w:rFonts w:ascii="仿宋_GB2312" w:hAnsi="仿宋_GB2312" w:cs="仿宋_GB2312" w:eastAsia="仿宋_GB2312"/>
                      <w:sz w:val="19"/>
                      <w:color w:val="000000"/>
                    </w:rPr>
                    <w:t xml:space="preserve">3 </w:t>
                  </w:r>
                  <w:r>
                    <w:rPr>
                      <w:rFonts w:ascii="仿宋_GB2312" w:hAnsi="仿宋_GB2312" w:cs="仿宋_GB2312" w:eastAsia="仿宋_GB2312"/>
                      <w:sz w:val="19"/>
                      <w:color w:val="000000"/>
                    </w:rPr>
                    <w:t>土壤资源评价与利用报告编制：基于三普数据分析全省土壤质量、土地利用情况。阐述省级三普成果中涉及的专题类型、编制方法等，并对所获取的数据进行全面分析，全面查明查清全省土壤类型及分布规律、土壤资源现状及变化趋势，真实准确掌握全省土壤质量、性状和利用现状。</w:t>
                  </w:r>
                </w:p>
                <w:p>
                  <w:pPr>
                    <w:pStyle w:val="null3"/>
                    <w:spacing w:before="150"/>
                    <w:jc w:val="left"/>
                  </w:pPr>
                  <w:r>
                    <w:rPr>
                      <w:rFonts w:ascii="仿宋_GB2312" w:hAnsi="仿宋_GB2312" w:cs="仿宋_GB2312" w:eastAsia="仿宋_GB2312"/>
                      <w:sz w:val="19"/>
                      <w:color w:val="000000"/>
                    </w:rPr>
                    <w:t xml:space="preserve">4 </w:t>
                  </w:r>
                  <w:r>
                    <w:rPr>
                      <w:rFonts w:ascii="仿宋_GB2312" w:hAnsi="仿宋_GB2312" w:cs="仿宋_GB2312" w:eastAsia="仿宋_GB2312"/>
                      <w:sz w:val="19"/>
                      <w:color w:val="000000"/>
                    </w:rPr>
                    <w:t>省级土壤属性图与专题图制作：展示全省有机质、酸碱度（</w:t>
                  </w:r>
                  <w:r>
                    <w:rPr>
                      <w:rFonts w:ascii="仿宋_GB2312" w:hAnsi="仿宋_GB2312" w:cs="仿宋_GB2312" w:eastAsia="仿宋_GB2312"/>
                      <w:sz w:val="19"/>
                      <w:color w:val="000000"/>
                    </w:rPr>
                    <w:t>pH</w:t>
                  </w:r>
                  <w:r>
                    <w:rPr>
                      <w:rFonts w:ascii="仿宋_GB2312" w:hAnsi="仿宋_GB2312" w:cs="仿宋_GB2312" w:eastAsia="仿宋_GB2312"/>
                      <w:sz w:val="19"/>
                      <w:color w:val="000000"/>
                    </w:rPr>
                    <w:t>）、质地（砂粒、粉粒、黏粒）、土壤容重、土壤阳离子交换量、全氮、全磷、全钾、有效磷、速效钾等各理化指标空间分布情况，为土壤资源的合理利用和保护提供科学依据。</w:t>
                  </w:r>
                </w:p>
                <w:p>
                  <w:pPr>
                    <w:pStyle w:val="null3"/>
                    <w:spacing w:before="150"/>
                    <w:jc w:val="left"/>
                  </w:pPr>
                  <w:r>
                    <w:rPr>
                      <w:rFonts w:ascii="仿宋_GB2312" w:hAnsi="仿宋_GB2312" w:cs="仿宋_GB2312" w:eastAsia="仿宋_GB2312"/>
                      <w:sz w:val="19"/>
                      <w:color w:val="000000"/>
                    </w:rPr>
                    <w:t xml:space="preserve">5 </w:t>
                  </w:r>
                  <w:r>
                    <w:rPr>
                      <w:rFonts w:ascii="仿宋_GB2312" w:hAnsi="仿宋_GB2312" w:cs="仿宋_GB2312" w:eastAsia="仿宋_GB2312"/>
                      <w:sz w:val="19"/>
                      <w:color w:val="000000"/>
                    </w:rPr>
                    <w:t>《陕西土壤》（著作）编制：详细描述全省各地区土壤历史变化、土壤类型与分布、土壤资源利用现状及评价、土壤改良利用与保护等，为全省土壤类型、分布及其特性提供基础数据。</w:t>
                  </w:r>
                </w:p>
                <w:p>
                  <w:pPr>
                    <w:pStyle w:val="null3"/>
                    <w:spacing w:before="150"/>
                    <w:jc w:val="left"/>
                  </w:pPr>
                  <w:r>
                    <w:rPr>
                      <w:rFonts w:ascii="仿宋_GB2312" w:hAnsi="仿宋_GB2312" w:cs="仿宋_GB2312" w:eastAsia="仿宋_GB2312"/>
                      <w:sz w:val="19"/>
                      <w:color w:val="000000"/>
                    </w:rPr>
                    <w:t xml:space="preserve">6 </w:t>
                  </w:r>
                  <w:r>
                    <w:rPr>
                      <w:rFonts w:ascii="仿宋_GB2312" w:hAnsi="仿宋_GB2312" w:cs="仿宋_GB2312" w:eastAsia="仿宋_GB2312"/>
                      <w:sz w:val="19"/>
                      <w:color w:val="000000"/>
                    </w:rPr>
                    <w:t>《陕西土种志》（著作）专题：以全省所有土壤三普调查剖面为支撑，详细描述土属与土种发生学特征、发育过程、土体构型、障碍层及与土壤生产性能。</w:t>
                  </w:r>
                </w:p>
                <w:p>
                  <w:pPr>
                    <w:pStyle w:val="null3"/>
                    <w:spacing w:before="150"/>
                    <w:jc w:val="left"/>
                  </w:pPr>
                  <w:r>
                    <w:rPr>
                      <w:rFonts w:ascii="仿宋_GB2312" w:hAnsi="仿宋_GB2312" w:cs="仿宋_GB2312" w:eastAsia="仿宋_GB2312"/>
                      <w:sz w:val="19"/>
                      <w:color w:val="000000"/>
                    </w:rPr>
                    <w:t>7.</w:t>
                  </w:r>
                  <w:r>
                    <w:rPr>
                      <w:rFonts w:ascii="仿宋_GB2312" w:hAnsi="仿宋_GB2312" w:cs="仿宋_GB2312" w:eastAsia="仿宋_GB2312"/>
                      <w:sz w:val="19"/>
                      <w:color w:val="000000"/>
                    </w:rPr>
                    <w:t>《陕西土壤普查数据集》（出版图册）、《陕西土壤图集》（出版图册）。</w:t>
                  </w:r>
                </w:p>
                <w:p>
                  <w:pPr>
                    <w:pStyle w:val="null3"/>
                    <w:spacing w:before="150"/>
                    <w:jc w:val="left"/>
                  </w:pPr>
                  <w:r>
                    <w:rPr>
                      <w:rFonts w:ascii="仿宋_GB2312" w:hAnsi="仿宋_GB2312" w:cs="仿宋_GB2312" w:eastAsia="仿宋_GB2312"/>
                      <w:sz w:val="19"/>
                      <w:color w:val="000000"/>
                    </w:rPr>
                    <w:t>8.</w:t>
                  </w:r>
                  <w:r>
                    <w:rPr>
                      <w:rFonts w:ascii="仿宋_GB2312" w:hAnsi="仿宋_GB2312" w:cs="仿宋_GB2312" w:eastAsia="仿宋_GB2312"/>
                      <w:sz w:val="19"/>
                      <w:color w:val="000000"/>
                    </w:rPr>
                    <w:t>各专题报告包括：根据第三次全国土壤普查省级各专题报告编制要求，编制省级耕地质量等级报告及耕地质量等级图、土壤质量评价专题报告及图件、土壤退化与障碍因素专题报告及图件、土地适宜性评价专题报告及图件等。</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spacing w:before="150"/>
              <w:ind w:left="39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专家技术指导和培训</w:t>
            </w:r>
          </w:p>
          <w:tbl>
            <w:tblPr>
              <w:tblInd w:type="dxa" w:w="105"/>
              <w:tblBorders>
                <w:top w:val="none" w:color="000000" w:sz="4"/>
                <w:left w:val="none" w:color="000000" w:sz="4"/>
                <w:bottom w:val="none" w:color="000000" w:sz="4"/>
                <w:right w:val="none" w:color="000000" w:sz="4"/>
                <w:insideH w:val="none"/>
                <w:insideV w:val="none"/>
              </w:tblBorders>
            </w:tblPr>
            <w:tblGrid>
              <w:gridCol w:w="353"/>
              <w:gridCol w:w="260"/>
              <w:gridCol w:w="1940"/>
            </w:tblGrid>
            <w:tr>
              <w:tc>
                <w:tcPr>
                  <w:tcW w:type="dxa" w:w="35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left"/>
                  </w:pPr>
                  <w:r>
                    <w:rPr>
                      <w:rFonts w:ascii="仿宋_GB2312" w:hAnsi="仿宋_GB2312" w:cs="仿宋_GB2312" w:eastAsia="仿宋_GB2312"/>
                      <w:sz w:val="19"/>
                      <w:color w:val="000000"/>
                    </w:rPr>
                    <w:t>参数性质</w:t>
                  </w:r>
                </w:p>
              </w:tc>
              <w:tc>
                <w:tcPr>
                  <w:tcW w:type="dxa" w:w="2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left"/>
                  </w:pPr>
                  <w:r>
                    <w:rPr>
                      <w:rFonts w:ascii="仿宋_GB2312" w:hAnsi="仿宋_GB2312" w:cs="仿宋_GB2312" w:eastAsia="仿宋_GB2312"/>
                      <w:sz w:val="19"/>
                      <w:color w:val="000000"/>
                    </w:rPr>
                    <w:t>序号</w:t>
                  </w:r>
                </w:p>
              </w:tc>
              <w:tc>
                <w:tcPr>
                  <w:tcW w:type="dxa" w:w="19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center"/>
                  </w:pPr>
                  <w:r>
                    <w:rPr>
                      <w:rFonts w:ascii="仿宋_GB2312" w:hAnsi="仿宋_GB2312" w:cs="仿宋_GB2312" w:eastAsia="仿宋_GB2312"/>
                      <w:sz w:val="19"/>
                      <w:color w:val="000000"/>
                    </w:rPr>
                    <w:t>技术参数与性能指标</w:t>
                  </w:r>
                </w:p>
              </w:tc>
            </w:tr>
            <w:tr>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19"/>
                      <w:color w:val="000000"/>
                    </w:rPr>
                    <w:t>★</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19"/>
                      <w:color w:val="000000"/>
                    </w:rPr>
                    <w:t>1</w:t>
                  </w:r>
                </w:p>
              </w:tc>
              <w:tc>
                <w:tcPr>
                  <w:tcW w:type="dxa" w:w="19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rFonts w:ascii="仿宋_GB2312" w:hAnsi="仿宋_GB2312" w:cs="仿宋_GB2312" w:eastAsia="仿宋_GB2312"/>
                      <w:sz w:val="19"/>
                      <w:color w:val="000000"/>
                    </w:rPr>
                    <w:t>专家指导、培训：组织专家结合现场对技术人员及管理人员等开展土壤普查</w:t>
                  </w:r>
                  <w:r>
                    <w:rPr>
                      <w:rFonts w:ascii="仿宋_GB2312" w:hAnsi="仿宋_GB2312" w:cs="仿宋_GB2312" w:eastAsia="仿宋_GB2312"/>
                      <w:sz w:val="19"/>
                      <w:color w:val="000000"/>
                    </w:rPr>
                    <w:t>内业培训</w:t>
                  </w:r>
                  <w:r>
                    <w:rPr>
                      <w:rFonts w:ascii="仿宋_GB2312" w:hAnsi="仿宋_GB2312" w:cs="仿宋_GB2312" w:eastAsia="仿宋_GB2312"/>
                      <w:sz w:val="19"/>
                      <w:color w:val="000000"/>
                    </w:rPr>
                    <w:t>、</w:t>
                  </w:r>
                  <w:r>
                    <w:rPr>
                      <w:rFonts w:ascii="仿宋_GB2312" w:hAnsi="仿宋_GB2312" w:cs="仿宋_GB2312" w:eastAsia="仿宋_GB2312"/>
                      <w:sz w:val="19"/>
                      <w:color w:val="000000"/>
                    </w:rPr>
                    <w:t>数据</w:t>
                  </w:r>
                  <w:r>
                    <w:rPr>
                      <w:rFonts w:ascii="仿宋_GB2312" w:hAnsi="仿宋_GB2312" w:cs="仿宋_GB2312" w:eastAsia="仿宋_GB2312"/>
                      <w:sz w:val="19"/>
                      <w:color w:val="000000"/>
                    </w:rPr>
                    <w:t>成果汇总</w:t>
                  </w:r>
                  <w:r>
                    <w:rPr>
                      <w:rFonts w:ascii="仿宋_GB2312" w:hAnsi="仿宋_GB2312" w:cs="仿宋_GB2312" w:eastAsia="仿宋_GB2312"/>
                      <w:sz w:val="19"/>
                      <w:color w:val="000000"/>
                    </w:rPr>
                    <w:t>、</w:t>
                  </w:r>
                  <w:r>
                    <w:rPr>
                      <w:rFonts w:ascii="仿宋_GB2312" w:hAnsi="仿宋_GB2312" w:cs="仿宋_GB2312" w:eastAsia="仿宋_GB2312"/>
                      <w:sz w:val="19"/>
                      <w:color w:val="000000"/>
                    </w:rPr>
                    <w:t>成果图件制作及质量控制</w:t>
                  </w:r>
                  <w:r>
                    <w:rPr>
                      <w:rFonts w:ascii="仿宋_GB2312" w:hAnsi="仿宋_GB2312" w:cs="仿宋_GB2312" w:eastAsia="仿宋_GB2312"/>
                      <w:sz w:val="19"/>
                      <w:color w:val="000000"/>
                    </w:rPr>
                    <w:t>等环节的技术指导、培训。</w:t>
                  </w:r>
                </w:p>
              </w:tc>
            </w:tr>
            <w:tr>
              <w:tc>
                <w:tcPr>
                  <w:tcW w:type="dxa" w:w="3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left"/>
                  </w:pP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2</w:t>
                  </w:r>
                </w:p>
              </w:tc>
              <w:tc>
                <w:tcPr>
                  <w:tcW w:type="dxa" w:w="19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rFonts w:ascii="仿宋_GB2312" w:hAnsi="仿宋_GB2312" w:cs="仿宋_GB2312" w:eastAsia="仿宋_GB2312"/>
                      <w:sz w:val="19"/>
                      <w:color w:val="000000"/>
                    </w:rPr>
                    <w:t xml:space="preserve">1 </w:t>
                  </w:r>
                  <w:r>
                    <w:rPr>
                      <w:rFonts w:ascii="仿宋_GB2312" w:hAnsi="仿宋_GB2312" w:cs="仿宋_GB2312" w:eastAsia="仿宋_GB2312"/>
                      <w:sz w:val="19"/>
                      <w:color w:val="000000"/>
                    </w:rPr>
                    <w:t>在明确土壤普查</w:t>
                  </w:r>
                  <w:r>
                    <w:rPr>
                      <w:rFonts w:ascii="仿宋_GB2312" w:hAnsi="仿宋_GB2312" w:cs="仿宋_GB2312" w:eastAsia="仿宋_GB2312"/>
                      <w:sz w:val="19"/>
                      <w:color w:val="000000"/>
                    </w:rPr>
                    <w:t>内业</w:t>
                  </w:r>
                  <w:r>
                    <w:rPr>
                      <w:rFonts w:ascii="仿宋_GB2312" w:hAnsi="仿宋_GB2312" w:cs="仿宋_GB2312" w:eastAsia="仿宋_GB2312"/>
                      <w:sz w:val="19"/>
                      <w:color w:val="000000"/>
                    </w:rPr>
                    <w:t>工作任务基础上</w:t>
                  </w:r>
                  <w:r>
                    <w:rPr>
                      <w:rFonts w:ascii="仿宋_GB2312" w:hAnsi="仿宋_GB2312" w:cs="仿宋_GB2312" w:eastAsia="仿宋_GB2312"/>
                      <w:sz w:val="19"/>
                      <w:color w:val="000000"/>
                    </w:rPr>
                    <w:t>，</w:t>
                  </w:r>
                  <w:r>
                    <w:rPr>
                      <w:rFonts w:ascii="仿宋_GB2312" w:hAnsi="仿宋_GB2312" w:cs="仿宋_GB2312" w:eastAsia="仿宋_GB2312"/>
                      <w:sz w:val="19"/>
                      <w:color w:val="000000"/>
                    </w:rPr>
                    <w:t>组织相关专家</w:t>
                  </w:r>
                  <w:r>
                    <w:rPr>
                      <w:rFonts w:ascii="仿宋_GB2312" w:hAnsi="仿宋_GB2312" w:cs="仿宋_GB2312" w:eastAsia="仿宋_GB2312"/>
                      <w:sz w:val="19"/>
                      <w:color w:val="000000"/>
                    </w:rPr>
                    <w:t>对</w:t>
                  </w:r>
                  <w:r>
                    <w:rPr>
                      <w:rFonts w:ascii="仿宋_GB2312" w:hAnsi="仿宋_GB2312" w:cs="仿宋_GB2312" w:eastAsia="仿宋_GB2312"/>
                      <w:sz w:val="19"/>
                      <w:color w:val="000000"/>
                    </w:rPr>
                    <w:t>省市县各土壤普查办、各承担任务检测实验室、内业检测质控实验室及内业数据审核专家开展土壤普查内业</w:t>
                  </w:r>
                  <w:r>
                    <w:rPr>
                      <w:rFonts w:ascii="仿宋_GB2312" w:hAnsi="仿宋_GB2312" w:cs="仿宋_GB2312" w:eastAsia="仿宋_GB2312"/>
                      <w:sz w:val="19"/>
                      <w:color w:val="000000"/>
                    </w:rPr>
                    <w:t>相关</w:t>
                  </w:r>
                  <w:r>
                    <w:rPr>
                      <w:rFonts w:ascii="仿宋_GB2312" w:hAnsi="仿宋_GB2312" w:cs="仿宋_GB2312" w:eastAsia="仿宋_GB2312"/>
                      <w:sz w:val="19"/>
                      <w:color w:val="000000"/>
                    </w:rPr>
                    <w:t>培训。</w:t>
                  </w:r>
                </w:p>
                <w:p>
                  <w:pPr>
                    <w:pStyle w:val="null3"/>
                    <w:spacing w:before="150"/>
                    <w:jc w:val="left"/>
                  </w:pPr>
                  <w:r>
                    <w:rPr>
                      <w:rFonts w:ascii="仿宋_GB2312" w:hAnsi="仿宋_GB2312" w:cs="仿宋_GB2312" w:eastAsia="仿宋_GB2312"/>
                      <w:sz w:val="19"/>
                      <w:color w:val="000000"/>
                    </w:rPr>
                    <w:t xml:space="preserve">2 </w:t>
                  </w:r>
                  <w:r>
                    <w:rPr>
                      <w:rFonts w:ascii="仿宋_GB2312" w:hAnsi="仿宋_GB2312" w:cs="仿宋_GB2312" w:eastAsia="仿宋_GB2312"/>
                      <w:sz w:val="19"/>
                      <w:color w:val="000000"/>
                    </w:rPr>
                    <w:t>根据《第三次全国土壤普查县级成果编制及验收导引》（国土壤普查办发</w:t>
                  </w:r>
                  <w:r>
                    <w:rPr>
                      <w:rFonts w:ascii="仿宋_GB2312" w:hAnsi="仿宋_GB2312" w:cs="仿宋_GB2312" w:eastAsia="仿宋_GB2312"/>
                      <w:sz w:val="19"/>
                      <w:color w:val="000000"/>
                    </w:rPr>
                    <w:t>[2024]19</w:t>
                  </w:r>
                  <w:r>
                    <w:rPr>
                      <w:rFonts w:ascii="仿宋_GB2312" w:hAnsi="仿宋_GB2312" w:cs="仿宋_GB2312" w:eastAsia="仿宋_GB2312"/>
                      <w:sz w:val="19"/>
                      <w:color w:val="000000"/>
                    </w:rPr>
                    <w:t>号）文件要求，组织相关专家对参与成果编制技术人员开展土壤成果汇总及成果图件编制等培训。</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spacing w:before="150"/>
              <w:ind w:left="390"/>
              <w:jc w:val="left"/>
            </w:pPr>
            <w:r>
              <w:rPr>
                <w:rFonts w:ascii="仿宋_GB2312" w:hAnsi="仿宋_GB2312" w:cs="仿宋_GB2312" w:eastAsia="仿宋_GB2312"/>
                <w:sz w:val="19"/>
                <w:color w:val="000000"/>
              </w:rPr>
              <w:t>三普工作宣传</w:t>
            </w:r>
          </w:p>
          <w:tbl>
            <w:tblPr>
              <w:tblInd w:type="dxa" w:w="105"/>
              <w:tblBorders>
                <w:top w:val="none" w:color="000000" w:sz="4"/>
                <w:left w:val="none" w:color="000000" w:sz="4"/>
                <w:bottom w:val="none" w:color="000000" w:sz="4"/>
                <w:right w:val="none" w:color="000000" w:sz="4"/>
                <w:insideH w:val="none"/>
                <w:insideV w:val="none"/>
              </w:tblBorders>
            </w:tblPr>
            <w:tblGrid>
              <w:gridCol w:w="360"/>
              <w:gridCol w:w="322"/>
              <w:gridCol w:w="1871"/>
            </w:tblGrid>
            <w:tr>
              <w:tc>
                <w:tcPr>
                  <w:tcW w:type="dxa" w:w="3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left"/>
                  </w:pPr>
                  <w:r>
                    <w:rPr>
                      <w:rFonts w:ascii="仿宋_GB2312" w:hAnsi="仿宋_GB2312" w:cs="仿宋_GB2312" w:eastAsia="仿宋_GB2312"/>
                      <w:sz w:val="19"/>
                      <w:color w:val="000000"/>
                    </w:rPr>
                    <w:t>参数性质</w:t>
                  </w:r>
                </w:p>
              </w:tc>
              <w:tc>
                <w:tcPr>
                  <w:tcW w:type="dxa" w:w="32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left"/>
                  </w:pPr>
                  <w:r>
                    <w:rPr>
                      <w:rFonts w:ascii="仿宋_GB2312" w:hAnsi="仿宋_GB2312" w:cs="仿宋_GB2312" w:eastAsia="仿宋_GB2312"/>
                      <w:sz w:val="19"/>
                      <w:color w:val="000000"/>
                    </w:rPr>
                    <w:t>序号</w:t>
                  </w:r>
                </w:p>
              </w:tc>
              <w:tc>
                <w:tcPr>
                  <w:tcW w:type="dxa" w:w="18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center"/>
                  </w:pPr>
                  <w:r>
                    <w:rPr>
                      <w:rFonts w:ascii="仿宋_GB2312" w:hAnsi="仿宋_GB2312" w:cs="仿宋_GB2312" w:eastAsia="仿宋_GB2312"/>
                      <w:sz w:val="19"/>
                      <w:color w:val="000000"/>
                    </w:rPr>
                    <w:t>技术参数与性能指标</w:t>
                  </w:r>
                </w:p>
              </w:tc>
            </w:tr>
            <w:tr>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left"/>
                  </w:pPr>
                  <w:r>
                    <w:rPr>
                      <w:rFonts w:ascii="仿宋_GB2312" w:hAnsi="仿宋_GB2312" w:cs="仿宋_GB2312" w:eastAsia="仿宋_GB2312"/>
                      <w:sz w:val="19"/>
                      <w:color w:val="000000"/>
                    </w:rPr>
                    <w:t>★</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left"/>
                  </w:pPr>
                  <w:r>
                    <w:rPr>
                      <w:rFonts w:ascii="仿宋_GB2312" w:hAnsi="仿宋_GB2312" w:cs="仿宋_GB2312" w:eastAsia="仿宋_GB2312"/>
                      <w:sz w:val="19"/>
                      <w:color w:val="000000"/>
                    </w:rPr>
                    <w:t>1</w:t>
                  </w:r>
                </w:p>
              </w:tc>
              <w:tc>
                <w:tcPr>
                  <w:tcW w:type="dxa" w:w="18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rFonts w:ascii="仿宋_GB2312" w:hAnsi="仿宋_GB2312" w:cs="仿宋_GB2312" w:eastAsia="仿宋_GB2312"/>
                      <w:sz w:val="19"/>
                      <w:color w:val="000000"/>
                    </w:rPr>
                    <w:t>开展土壤普查宣传工作</w:t>
                  </w:r>
                  <w:r>
                    <w:rPr>
                      <w:rFonts w:ascii="仿宋_GB2312" w:hAnsi="仿宋_GB2312" w:cs="仿宋_GB2312" w:eastAsia="仿宋_GB2312"/>
                      <w:sz w:val="19"/>
                      <w:color w:val="000000"/>
                    </w:rPr>
                    <w:t>，</w:t>
                  </w:r>
                  <w:r>
                    <w:rPr>
                      <w:rFonts w:ascii="仿宋_GB2312" w:hAnsi="仿宋_GB2312" w:cs="仿宋_GB2312" w:eastAsia="仿宋_GB2312"/>
                      <w:sz w:val="19"/>
                      <w:color w:val="000000"/>
                    </w:rPr>
                    <w:t>包括制作土壤普查工作交流片</w:t>
                  </w:r>
                  <w:r>
                    <w:rPr>
                      <w:rFonts w:ascii="仿宋_GB2312" w:hAnsi="仿宋_GB2312" w:cs="仿宋_GB2312" w:eastAsia="仿宋_GB2312"/>
                      <w:sz w:val="19"/>
                      <w:color w:val="000000"/>
                    </w:rPr>
                    <w:t>、</w:t>
                  </w:r>
                  <w:r>
                    <w:rPr>
                      <w:rFonts w:ascii="仿宋_GB2312" w:hAnsi="仿宋_GB2312" w:cs="仿宋_GB2312" w:eastAsia="仿宋_GB2312"/>
                      <w:sz w:val="19"/>
                      <w:color w:val="000000"/>
                    </w:rPr>
                    <w:t>项目汇报片</w:t>
                  </w:r>
                  <w:r>
                    <w:rPr>
                      <w:rFonts w:ascii="仿宋_GB2312" w:hAnsi="仿宋_GB2312" w:cs="仿宋_GB2312" w:eastAsia="仿宋_GB2312"/>
                      <w:sz w:val="19"/>
                      <w:color w:val="000000"/>
                    </w:rPr>
                    <w:t>等</w:t>
                  </w:r>
                  <w:r>
                    <w:rPr>
                      <w:rFonts w:ascii="仿宋_GB2312" w:hAnsi="仿宋_GB2312" w:cs="仿宋_GB2312" w:eastAsia="仿宋_GB2312"/>
                      <w:sz w:val="19"/>
                      <w:color w:val="000000"/>
                    </w:rPr>
                    <w:t>宣传资料等</w:t>
                  </w:r>
                </w:p>
              </w:tc>
            </w:tr>
            <w:tr>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left"/>
                  </w:pP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18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rFonts w:ascii="仿宋_GB2312" w:hAnsi="仿宋_GB2312" w:cs="仿宋_GB2312" w:eastAsia="仿宋_GB2312"/>
                      <w:sz w:val="19"/>
                      <w:color w:val="000000"/>
                    </w:rPr>
                    <w:t>开展土壤普查宣传工作</w:t>
                  </w:r>
                  <w:r>
                    <w:rPr>
                      <w:rFonts w:ascii="仿宋_GB2312" w:hAnsi="仿宋_GB2312" w:cs="仿宋_GB2312" w:eastAsia="仿宋_GB2312"/>
                      <w:sz w:val="19"/>
                      <w:color w:val="000000"/>
                    </w:rPr>
                    <w:t>，</w:t>
                  </w:r>
                  <w:r>
                    <w:rPr>
                      <w:rFonts w:ascii="仿宋_GB2312" w:hAnsi="仿宋_GB2312" w:cs="仿宋_GB2312" w:eastAsia="仿宋_GB2312"/>
                      <w:sz w:val="19"/>
                      <w:color w:val="000000"/>
                    </w:rPr>
                    <w:t>包括制作土壤普查工作交流片</w:t>
                  </w:r>
                  <w:r>
                    <w:rPr>
                      <w:rFonts w:ascii="仿宋_GB2312" w:hAnsi="仿宋_GB2312" w:cs="仿宋_GB2312" w:eastAsia="仿宋_GB2312"/>
                      <w:sz w:val="19"/>
                      <w:color w:val="000000"/>
                    </w:rPr>
                    <w:t>、</w:t>
                  </w:r>
                  <w:r>
                    <w:rPr>
                      <w:rFonts w:ascii="仿宋_GB2312" w:hAnsi="仿宋_GB2312" w:cs="仿宋_GB2312" w:eastAsia="仿宋_GB2312"/>
                      <w:sz w:val="19"/>
                      <w:color w:val="000000"/>
                    </w:rPr>
                    <w:t>项目汇报片</w:t>
                  </w:r>
                  <w:r>
                    <w:rPr>
                      <w:rFonts w:ascii="仿宋_GB2312" w:hAnsi="仿宋_GB2312" w:cs="仿宋_GB2312" w:eastAsia="仿宋_GB2312"/>
                      <w:sz w:val="19"/>
                      <w:color w:val="000000"/>
                    </w:rPr>
                    <w:t>等</w:t>
                  </w:r>
                  <w:r>
                    <w:rPr>
                      <w:rFonts w:ascii="仿宋_GB2312" w:hAnsi="仿宋_GB2312" w:cs="仿宋_GB2312" w:eastAsia="仿宋_GB2312"/>
                      <w:sz w:val="19"/>
                      <w:color w:val="000000"/>
                    </w:rPr>
                    <w:t>宣传资料等</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spacing w:before="150"/>
              <w:ind w:left="390"/>
              <w:jc w:val="left"/>
            </w:pPr>
            <w:r>
              <w:rPr>
                <w:rFonts w:ascii="仿宋_GB2312" w:hAnsi="仿宋_GB2312" w:cs="仿宋_GB2312" w:eastAsia="仿宋_GB2312"/>
                <w:sz w:val="19"/>
                <w:color w:val="000000"/>
              </w:rPr>
              <w:t>省级成果验收</w:t>
            </w:r>
          </w:p>
          <w:tbl>
            <w:tblPr>
              <w:tblInd w:type="dxa" w:w="105"/>
              <w:tblBorders>
                <w:top w:val="none" w:color="000000" w:sz="4"/>
                <w:left w:val="none" w:color="000000" w:sz="4"/>
                <w:bottom w:val="none" w:color="000000" w:sz="4"/>
                <w:right w:val="none" w:color="000000" w:sz="4"/>
                <w:insideH w:val="none"/>
                <w:insideV w:val="none"/>
              </w:tblBorders>
            </w:tblPr>
            <w:tblGrid>
              <w:gridCol w:w="356"/>
              <w:gridCol w:w="317"/>
              <w:gridCol w:w="1880"/>
            </w:tblGrid>
            <w:tr>
              <w:tc>
                <w:tcPr>
                  <w:tcW w:type="dxa" w:w="3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left"/>
                  </w:pPr>
                  <w:r>
                    <w:rPr>
                      <w:rFonts w:ascii="仿宋_GB2312" w:hAnsi="仿宋_GB2312" w:cs="仿宋_GB2312" w:eastAsia="仿宋_GB2312"/>
                      <w:sz w:val="19"/>
                      <w:color w:val="000000"/>
                    </w:rPr>
                    <w:t>参数性质</w:t>
                  </w:r>
                </w:p>
              </w:tc>
              <w:tc>
                <w:tcPr>
                  <w:tcW w:type="dxa" w:w="3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left"/>
                  </w:pPr>
                  <w:r>
                    <w:rPr>
                      <w:rFonts w:ascii="仿宋_GB2312" w:hAnsi="仿宋_GB2312" w:cs="仿宋_GB2312" w:eastAsia="仿宋_GB2312"/>
                      <w:sz w:val="19"/>
                      <w:color w:val="000000"/>
                    </w:rPr>
                    <w:t>序号</w:t>
                  </w:r>
                </w:p>
              </w:tc>
              <w:tc>
                <w:tcPr>
                  <w:tcW w:type="dxa" w:w="18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center"/>
                  </w:pPr>
                  <w:r>
                    <w:rPr>
                      <w:rFonts w:ascii="仿宋_GB2312" w:hAnsi="仿宋_GB2312" w:cs="仿宋_GB2312" w:eastAsia="仿宋_GB2312"/>
                      <w:sz w:val="19"/>
                      <w:color w:val="000000"/>
                    </w:rPr>
                    <w:t>技术参数与性能指标</w:t>
                  </w:r>
                </w:p>
              </w:tc>
            </w:tr>
            <w:tr>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19"/>
                      <w:color w:val="000000"/>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19"/>
                      <w:color w:val="000000"/>
                    </w:rPr>
                    <w:t>1</w:t>
                  </w:r>
                </w:p>
              </w:tc>
              <w:tc>
                <w:tcPr>
                  <w:tcW w:type="dxa" w:w="18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rFonts w:ascii="仿宋_GB2312" w:hAnsi="仿宋_GB2312" w:cs="仿宋_GB2312" w:eastAsia="仿宋_GB2312"/>
                      <w:sz w:val="19"/>
                      <w:color w:val="000000"/>
                    </w:rPr>
                    <w:t>省级成果要做到</w:t>
                  </w:r>
                  <w:r>
                    <w:rPr>
                      <w:rFonts w:ascii="仿宋_GB2312" w:hAnsi="仿宋_GB2312" w:cs="仿宋_GB2312" w:eastAsia="仿宋_GB2312"/>
                      <w:sz w:val="19"/>
                      <w:color w:val="000000"/>
                    </w:rPr>
                    <w:t>数据准确、方法科学、结果正确、结论可靠、对策实用，体现区域特色、符合实际情况，对农业生产、政策规划等具有实际指导作用。</w:t>
                  </w:r>
                  <w:r>
                    <w:rPr>
                      <w:rFonts w:ascii="仿宋_GB2312" w:hAnsi="仿宋_GB2312" w:cs="仿宋_GB2312" w:eastAsia="仿宋_GB2312"/>
                      <w:sz w:val="19"/>
                      <w:color w:val="000000"/>
                    </w:rPr>
                    <w:t>详见</w:t>
                  </w:r>
                  <w:r>
                    <w:rPr>
                      <w:rFonts w:ascii="仿宋_GB2312" w:hAnsi="仿宋_GB2312" w:cs="仿宋_GB2312" w:eastAsia="仿宋_GB2312"/>
                      <w:sz w:val="19"/>
                      <w:color w:val="000000"/>
                    </w:rPr>
                    <w:t>《</w:t>
                  </w:r>
                  <w:r>
                    <w:rPr>
                      <w:rFonts w:ascii="仿宋_GB2312" w:hAnsi="仿宋_GB2312" w:cs="仿宋_GB2312" w:eastAsia="仿宋_GB2312"/>
                      <w:sz w:val="19"/>
                      <w:color w:val="000000"/>
                    </w:rPr>
                    <w:t>第三次全国土壤普查成果形成工作方案</w:t>
                  </w:r>
                  <w:r>
                    <w:rPr>
                      <w:rFonts w:ascii="仿宋_GB2312" w:hAnsi="仿宋_GB2312" w:cs="仿宋_GB2312" w:eastAsia="仿宋_GB2312"/>
                      <w:sz w:val="19"/>
                      <w:color w:val="000000"/>
                    </w:rPr>
                    <w:t>》（</w:t>
                  </w:r>
                  <w:r>
                    <w:rPr>
                      <w:rFonts w:ascii="仿宋_GB2312" w:hAnsi="仿宋_GB2312" w:cs="仿宋_GB2312" w:eastAsia="仿宋_GB2312"/>
                      <w:sz w:val="19"/>
                      <w:color w:val="000000"/>
                    </w:rPr>
                    <w:t>国土壤普查办发〔</w:t>
                  </w:r>
                  <w:r>
                    <w:rPr>
                      <w:rFonts w:ascii="仿宋_GB2312" w:hAnsi="仿宋_GB2312" w:cs="仿宋_GB2312" w:eastAsia="仿宋_GB2312"/>
                      <w:sz w:val="19"/>
                      <w:color w:val="000000"/>
                    </w:rPr>
                    <w:t>2025</w:t>
                  </w:r>
                  <w:r>
                    <w:rPr>
                      <w:rFonts w:ascii="仿宋_GB2312" w:hAnsi="仿宋_GB2312" w:cs="仿宋_GB2312" w:eastAsia="仿宋_GB2312"/>
                      <w:sz w:val="19"/>
                      <w:color w:val="000000"/>
                    </w:rPr>
                    <w:t>〕</w:t>
                  </w:r>
                  <w:r>
                    <w:rPr>
                      <w:rFonts w:ascii="仿宋_GB2312" w:hAnsi="仿宋_GB2312" w:cs="仿宋_GB2312" w:eastAsia="仿宋_GB2312"/>
                      <w:sz w:val="19"/>
                      <w:color w:val="000000"/>
                    </w:rPr>
                    <w:t xml:space="preserve">5 </w:t>
                  </w:r>
                  <w:r>
                    <w:rPr>
                      <w:rFonts w:ascii="仿宋_GB2312" w:hAnsi="仿宋_GB2312" w:cs="仿宋_GB2312" w:eastAsia="仿宋_GB2312"/>
                      <w:sz w:val="19"/>
                      <w:color w:val="000000"/>
                    </w:rPr>
                    <w:t>号</w:t>
                  </w:r>
                  <w:r>
                    <w:rPr>
                      <w:rFonts w:ascii="仿宋_GB2312" w:hAnsi="仿宋_GB2312" w:cs="仿宋_GB2312" w:eastAsia="仿宋_GB2312"/>
                      <w:sz w:val="19"/>
                      <w:color w:val="000000"/>
                    </w:rPr>
                    <w:t>）、《</w:t>
                  </w:r>
                  <w:r>
                    <w:rPr>
                      <w:rFonts w:ascii="仿宋_GB2312" w:hAnsi="仿宋_GB2312" w:cs="仿宋_GB2312" w:eastAsia="仿宋_GB2312"/>
                      <w:sz w:val="19"/>
                      <w:color w:val="000000"/>
                    </w:rPr>
                    <w:t>2025</w:t>
                  </w:r>
                  <w:r>
                    <w:rPr>
                      <w:rFonts w:ascii="仿宋_GB2312" w:hAnsi="仿宋_GB2312" w:cs="仿宋_GB2312" w:eastAsia="仿宋_GB2312"/>
                      <w:sz w:val="19"/>
                      <w:color w:val="000000"/>
                    </w:rPr>
                    <w:t>年陕西省第三次全国土壤普查成果形成质量控制实施方案</w:t>
                  </w:r>
                  <w:r>
                    <w:rPr>
                      <w:rFonts w:ascii="仿宋_GB2312" w:hAnsi="仿宋_GB2312" w:cs="仿宋_GB2312" w:eastAsia="仿宋_GB2312"/>
                      <w:sz w:val="19"/>
                      <w:color w:val="000000"/>
                    </w:rPr>
                    <w:t>》（</w:t>
                  </w:r>
                  <w:r>
                    <w:rPr>
                      <w:rFonts w:ascii="仿宋_GB2312" w:hAnsi="仿宋_GB2312" w:cs="仿宋_GB2312" w:eastAsia="仿宋_GB2312"/>
                      <w:sz w:val="19"/>
                      <w:color w:val="000000"/>
                    </w:rPr>
                    <w:t>陕农办发</w:t>
                  </w:r>
                  <w:r>
                    <w:rPr>
                      <w:rFonts w:ascii="仿宋_GB2312" w:hAnsi="仿宋_GB2312" w:cs="仿宋_GB2312" w:eastAsia="仿宋_GB2312"/>
                      <w:sz w:val="19"/>
                      <w:color w:val="000000"/>
                    </w:rPr>
                    <w:t>〔</w:t>
                  </w:r>
                  <w:r>
                    <w:rPr>
                      <w:rFonts w:ascii="仿宋_GB2312" w:hAnsi="仿宋_GB2312" w:cs="仿宋_GB2312" w:eastAsia="仿宋_GB2312"/>
                      <w:sz w:val="19"/>
                      <w:color w:val="000000"/>
                    </w:rPr>
                    <w:t>2025</w:t>
                  </w:r>
                  <w:r>
                    <w:rPr>
                      <w:rFonts w:ascii="仿宋_GB2312" w:hAnsi="仿宋_GB2312" w:cs="仿宋_GB2312" w:eastAsia="仿宋_GB2312"/>
                      <w:sz w:val="19"/>
                      <w:color w:val="000000"/>
                    </w:rPr>
                    <w:t>〕</w:t>
                  </w:r>
                  <w:r>
                    <w:rPr>
                      <w:rFonts w:ascii="仿宋_GB2312" w:hAnsi="仿宋_GB2312" w:cs="仿宋_GB2312" w:eastAsia="仿宋_GB2312"/>
                      <w:sz w:val="19"/>
                      <w:color w:val="000000"/>
                    </w:rPr>
                    <w:t>64</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号</w:t>
                  </w:r>
                  <w:r>
                    <w:rPr>
                      <w:rFonts w:ascii="仿宋_GB2312" w:hAnsi="仿宋_GB2312" w:cs="仿宋_GB2312" w:eastAsia="仿宋_GB2312"/>
                      <w:sz w:val="19"/>
                      <w:color w:val="000000"/>
                    </w:rPr>
                    <w:t>）。</w:t>
                  </w:r>
                </w:p>
              </w:tc>
            </w:tr>
            <w:tr>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both"/>
                  </w:pP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2</w:t>
                  </w:r>
                </w:p>
              </w:tc>
              <w:tc>
                <w:tcPr>
                  <w:tcW w:type="dxa" w:w="18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rFonts w:ascii="仿宋_GB2312" w:hAnsi="仿宋_GB2312" w:cs="仿宋_GB2312" w:eastAsia="仿宋_GB2312"/>
                      <w:sz w:val="19"/>
                      <w:color w:val="000000"/>
                    </w:rPr>
                    <w:t xml:space="preserve">1 </w:t>
                  </w:r>
                  <w:r>
                    <w:rPr>
                      <w:rFonts w:ascii="仿宋_GB2312" w:hAnsi="仿宋_GB2312" w:cs="仿宋_GB2312" w:eastAsia="仿宋_GB2312"/>
                      <w:sz w:val="19"/>
                      <w:color w:val="000000"/>
                    </w:rPr>
                    <w:t>基础数据准确：各地形成一套用于普查成果编制的基础数据集，确保基础地理要素数据、外业调查采样数据、内业测试化验数据、历史土壤调查数据等全面、准确。注意各类成果间的有效衔接，评价和专题类成果编制要承接土壤类型制图和土壤属性制图结果，各成果编制过程中共用一套基础数据集。</w:t>
                  </w:r>
                </w:p>
                <w:p>
                  <w:pPr>
                    <w:pStyle w:val="null3"/>
                    <w:spacing w:before="150"/>
                    <w:jc w:val="left"/>
                  </w:pPr>
                  <w:r>
                    <w:rPr>
                      <w:rFonts w:ascii="仿宋_GB2312" w:hAnsi="仿宋_GB2312" w:cs="仿宋_GB2312" w:eastAsia="仿宋_GB2312"/>
                      <w:sz w:val="19"/>
                      <w:color w:val="000000"/>
                    </w:rPr>
                    <w:t xml:space="preserve">2 </w:t>
                  </w:r>
                  <w:r>
                    <w:rPr>
                      <w:rFonts w:ascii="仿宋_GB2312" w:hAnsi="仿宋_GB2312" w:cs="仿宋_GB2312" w:eastAsia="仿宋_GB2312"/>
                      <w:sz w:val="19"/>
                      <w:color w:val="000000"/>
                    </w:rPr>
                    <w:t>技术方法科学：各类成果形成要严格按照土壤三普技术规程规范、成果形成相关文件要求，结合本区域自然环境条件、农业生产状况、土壤资源性状与分布特征，选取合适数据处理和空间制图方法，优选评价模型与评价指标，强化土壤资源与利用的时空演变、成因与驱动分析。</w:t>
                  </w:r>
                </w:p>
                <w:p>
                  <w:pPr>
                    <w:pStyle w:val="null3"/>
                    <w:spacing w:before="150"/>
                    <w:jc w:val="left"/>
                  </w:pPr>
                  <w:r>
                    <w:rPr>
                      <w:rFonts w:ascii="仿宋_GB2312" w:hAnsi="仿宋_GB2312" w:cs="仿宋_GB2312" w:eastAsia="仿宋_GB2312"/>
                      <w:sz w:val="19"/>
                      <w:color w:val="000000"/>
                    </w:rPr>
                    <w:t xml:space="preserve">3 </w:t>
                  </w:r>
                  <w:r>
                    <w:rPr>
                      <w:rFonts w:ascii="仿宋_GB2312" w:hAnsi="仿宋_GB2312" w:cs="仿宋_GB2312" w:eastAsia="仿宋_GB2312"/>
                      <w:sz w:val="19"/>
                      <w:color w:val="000000"/>
                    </w:rPr>
                    <w:t>结果验证充分：采取室内核验和实地核验两种方式对初步成果进行验证。室内核验采取专家研判、与成土环境要素一致性比对、各专题成果一致性关联分析等方式。要基于室内核验发现的疑难问题点，及重点关注的交界区域，设置实地核验点位和路线，开展实地核验，确保结果正确、符合实际。</w:t>
                  </w:r>
                </w:p>
                <w:p>
                  <w:pPr>
                    <w:pStyle w:val="null3"/>
                    <w:spacing w:before="150"/>
                    <w:jc w:val="left"/>
                  </w:pPr>
                  <w:r>
                    <w:rPr>
                      <w:rFonts w:ascii="仿宋_GB2312" w:hAnsi="仿宋_GB2312" w:cs="仿宋_GB2312" w:eastAsia="仿宋_GB2312"/>
                      <w:sz w:val="19"/>
                      <w:color w:val="000000"/>
                    </w:rPr>
                    <w:t xml:space="preserve">4 </w:t>
                  </w:r>
                  <w:r>
                    <w:rPr>
                      <w:rFonts w:ascii="仿宋_GB2312" w:hAnsi="仿宋_GB2312" w:cs="仿宋_GB2312" w:eastAsia="仿宋_GB2312"/>
                      <w:sz w:val="19"/>
                      <w:color w:val="000000"/>
                    </w:rPr>
                    <w:t>区域特色鲜明：要结合区域自然环境条件、农业生产状况、土壤资源性状与分布特征等实际情况，对结果进行系统分析比对，总结形成可靠结论和可落地的对策建议，为制定政策规划和指导农业生产实际提供依据。成果报告内容和分析既要兼顾全面、更要重点突出，避免流水账式的数据和结果罗列；要陈述本区域落地做法，不可照抄全国或省级工作方案和技术性文件。</w:t>
                  </w: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spacing w:before="150"/>
              <w:ind w:left="390"/>
              <w:jc w:val="left"/>
            </w:pPr>
            <w:r>
              <w:rPr>
                <w:rFonts w:ascii="仿宋_GB2312" w:hAnsi="仿宋_GB2312" w:cs="仿宋_GB2312" w:eastAsia="仿宋_GB2312"/>
                <w:sz w:val="19"/>
                <w:color w:val="000000"/>
              </w:rPr>
              <w:t>土壤样本库技术改造</w:t>
            </w:r>
          </w:p>
          <w:tbl>
            <w:tblPr>
              <w:tblInd w:type="dxa" w:w="105"/>
              <w:tblBorders>
                <w:top w:val="none" w:color="000000" w:sz="4"/>
                <w:left w:val="none" w:color="000000" w:sz="4"/>
                <w:bottom w:val="none" w:color="000000" w:sz="4"/>
                <w:right w:val="none" w:color="000000" w:sz="4"/>
                <w:insideH w:val="none"/>
                <w:insideV w:val="none"/>
              </w:tblBorders>
            </w:tblPr>
            <w:tblGrid>
              <w:gridCol w:w="352"/>
              <w:gridCol w:w="321"/>
              <w:gridCol w:w="1879"/>
            </w:tblGrid>
            <w:tr>
              <w:tc>
                <w:tcPr>
                  <w:tcW w:type="dxa" w:w="35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left"/>
                  </w:pPr>
                  <w:r>
                    <w:rPr>
                      <w:rFonts w:ascii="仿宋_GB2312" w:hAnsi="仿宋_GB2312" w:cs="仿宋_GB2312" w:eastAsia="仿宋_GB2312"/>
                      <w:sz w:val="19"/>
                      <w:color w:val="000000"/>
                    </w:rPr>
                    <w:t>参数性质</w:t>
                  </w: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90"/>
                    <w:jc w:val="left"/>
                  </w:pPr>
                  <w:r>
                    <w:rPr>
                      <w:rFonts w:ascii="仿宋_GB2312" w:hAnsi="仿宋_GB2312" w:cs="仿宋_GB2312" w:eastAsia="仿宋_GB2312"/>
                      <w:sz w:val="19"/>
                      <w:color w:val="000000"/>
                    </w:rPr>
                    <w:t>序号</w:t>
                  </w:r>
                </w:p>
              </w:tc>
              <w:tc>
                <w:tcPr>
                  <w:tcW w:type="dxa" w:w="18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19"/>
                      <w:color w:val="000000"/>
                    </w:rPr>
                    <w:t>技术参数与性能指标</w:t>
                  </w:r>
                </w:p>
              </w:tc>
            </w:tr>
            <w:tr>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19"/>
                      <w:color w:val="000000"/>
                    </w:rPr>
                    <w:t>★</w:t>
                  </w: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19"/>
                      <w:color w:val="000000"/>
                    </w:rPr>
                    <w:t>1</w:t>
                  </w:r>
                </w:p>
              </w:tc>
              <w:tc>
                <w:tcPr>
                  <w:tcW w:type="dxa" w:w="18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rFonts w:ascii="仿宋_GB2312" w:hAnsi="仿宋_GB2312" w:cs="仿宋_GB2312" w:eastAsia="仿宋_GB2312"/>
                      <w:sz w:val="19"/>
                      <w:color w:val="000000"/>
                    </w:rPr>
                    <w:t>依据全国土壤普查样本库技术规范等要求，对已建成的陕西省土壤样本库进行改造，从改造土壤样本存储库房、增设土壤样本库功能分区等方面对土壤样本库进行技术改造。需改造样本库标的应标人需自行踏勘。详见《第三次全国土壤普查土壤样本库技术规范（试行）》（国土壤普查办发〔</w:t>
                  </w:r>
                  <w:r>
                    <w:rPr>
                      <w:rFonts w:ascii="仿宋_GB2312" w:hAnsi="仿宋_GB2312" w:cs="仿宋_GB2312" w:eastAsia="仿宋_GB2312"/>
                      <w:sz w:val="19"/>
                      <w:color w:val="000000"/>
                    </w:rPr>
                    <w:t>2024</w:t>
                  </w:r>
                  <w:r>
                    <w:rPr>
                      <w:rFonts w:ascii="仿宋_GB2312" w:hAnsi="仿宋_GB2312" w:cs="仿宋_GB2312" w:eastAsia="仿宋_GB2312"/>
                      <w:sz w:val="19"/>
                      <w:color w:val="000000"/>
                    </w:rPr>
                    <w:t>〕</w:t>
                  </w:r>
                  <w:r>
                    <w:rPr>
                      <w:rFonts w:ascii="仿宋_GB2312" w:hAnsi="仿宋_GB2312" w:cs="仿宋_GB2312" w:eastAsia="仿宋_GB2312"/>
                      <w:sz w:val="19"/>
                      <w:color w:val="000000"/>
                    </w:rPr>
                    <w:t xml:space="preserve">3 </w:t>
                  </w:r>
                  <w:r>
                    <w:rPr>
                      <w:rFonts w:ascii="仿宋_GB2312" w:hAnsi="仿宋_GB2312" w:cs="仿宋_GB2312" w:eastAsia="仿宋_GB2312"/>
                      <w:sz w:val="19"/>
                      <w:color w:val="000000"/>
                    </w:rPr>
                    <w:t>号）。</w:t>
                  </w:r>
                </w:p>
              </w:tc>
            </w:tr>
            <w:tr>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2</w:t>
                  </w:r>
                </w:p>
              </w:tc>
              <w:tc>
                <w:tcPr>
                  <w:tcW w:type="dxa" w:w="18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left"/>
                  </w:pPr>
                  <w:r>
                    <w:rPr>
                      <w:rFonts w:ascii="仿宋_GB2312" w:hAnsi="仿宋_GB2312" w:cs="仿宋_GB2312" w:eastAsia="仿宋_GB2312"/>
                      <w:sz w:val="19"/>
                      <w:color w:val="000000"/>
                    </w:rPr>
                    <w:t>改造土壤样本存储库房，配置智能密集架、电脑、工作机及控制柜、智能化样本存取、温湿度控制、安防监控、相机等设备，并构建高效智能化的土壤样本存储信息管理平台。增设土壤样本库功能分区，配置用于样本接收与暂存、样本处理与制作、样本出入库管理等附属功能区域。</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合同签订之日起至2025年12月31日（具体时间以全国土壤普查办工作安排时间为准）。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第三次全国土壤普查相关规范和采购人的要求，完成项目验收。验收方法：1）由中标人进行自检合格后，准备验收文件，并书面通知采购人。2）采购人确认中标人能够达到合同履约要求后，组织中标人进行项目验收，验收合格后，填写项目验收单作为对项目的最终认可。3）中标人向采购人提交项目实施过程中的所有资料, 以便采购人日后管理 和维护该项目。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合同签订后采购人支付合同价款的30%作为预付款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自合同签订之日起满 50日历天且形成省级土壤分类系统、完成土壤类型图制作，采购人按照服务进度支付合同价款的40%；</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按采购人要求按时高质量完成全部服务内容后，采购人支付至合同价款的95%；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剩余价款待项目通过国家和省级验收合格后，采购人一次性支付完成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甲方的违约责任 1、甲方未按第三次全国土壤普查相关政策要求及时向乙方提交开展工作所需要的技术、基础资料的，属 于违约行为。于此情形下，乙方可顺延向甲方交付项目成果的时间。 2、甲方未按本合同约定支付工作服务报酬，属于违约行 为。于此情形下，甲方除应继续向乙方支付合同约定的款项外，每逾期一个工作日，还应向乙方支付逾付款额的1‰作为违约 金。 乙方的违约责任 1、乙方自身原因未按本合同约定提供服务的，属于违约行为。于此情形下，乙方每逾期一个工作日， 甲方有权扣减本合同约定报酬总额的1‰作为违约金。 2、乙方所提供的技术服务不符合约定的，属于违约行为。于此情形 下，乙方除无偿返工或者采取补救措施加以完善之外，还应根据甲方要求予以修改完善。 争议解决 双方合同履行过程中发生 争议，双方应协商解决或请求调解。协商、调解不成功的，甲乙双方可向甲方所在地人民法院提起诉讼。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提供注册登记凭证（营业执照、其他组织经营 的合法凭证， 自然人的提供身份证明文件）</w:t>
            </w:r>
          </w:p>
        </w:tc>
        <w:tc>
          <w:tcPr>
            <w:tcW w:type="dxa" w:w="1661"/>
          </w:tcPr>
          <w:p>
            <w:pPr>
              <w:pStyle w:val="null3"/>
            </w:pPr>
            <w:r>
              <w:rPr>
                <w:rFonts w:ascii="仿宋_GB2312" w:hAnsi="仿宋_GB2312" w:cs="仿宋_GB2312" w:eastAsia="仿宋_GB2312"/>
              </w:rPr>
              <w:t>服务内容及服务邀请应答表 服务方案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 会计制度</w:t>
            </w:r>
          </w:p>
        </w:tc>
        <w:tc>
          <w:tcPr>
            <w:tcW w:type="dxa" w:w="3322"/>
          </w:tcPr>
          <w:p>
            <w:pPr>
              <w:pStyle w:val="null3"/>
            </w:pPr>
            <w:r>
              <w:rPr>
                <w:rFonts w:ascii="仿宋_GB2312" w:hAnsi="仿宋_GB2312" w:cs="仿宋_GB2312" w:eastAsia="仿宋_GB2312"/>
              </w:rPr>
              <w:t>提供2023年或2024年经第三方审计的财务报 告（包括四表一注，即资产负债表、利润表、 现金流量表、所有者权益变动表及其附注）； 事业法人提供部门决算报告； /或在投标截至时 间前六个月内其基本开户银行出具的资信证明 （附《基本存款账户信息》或《银行开户许可 证》复印件）； /或财政部门认可的政府采购专 业担保机构出具的投标担保函； /或表明具有良 好的商业信誉和健全的财务会计制度的诚信声 明； 以上四种形式的资料提供任何一种即可。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依法缴纳税收的良好记录（提供缴费所属日期 为投标截至时间前12个月内任一月份（当月不 计入）的增值税（或企业所得税）缴费凭据或 税务机关出具的完税证明/在法规范围内不需提 供的应出具书面说明和证明文件。）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具有依法缴纳社会保障资金的良好 记录</w:t>
            </w:r>
          </w:p>
        </w:tc>
        <w:tc>
          <w:tcPr>
            <w:tcW w:type="dxa" w:w="3322"/>
          </w:tcPr>
          <w:p>
            <w:pPr>
              <w:pStyle w:val="null3"/>
            </w:pPr>
            <w:r>
              <w:rPr>
                <w:rFonts w:ascii="仿宋_GB2312" w:hAnsi="仿宋_GB2312" w:cs="仿宋_GB2312" w:eastAsia="仿宋_GB2312"/>
              </w:rPr>
              <w:t>依法缴纳社会保障资金的良好记录（提供缴费 所属日期为投标截至时间前12个月内任一月份 （当月不计入）的缴费凭据或社保机关出具的 缴费证明/在法规范围内不需提供的应出具书面 说明和证明文件。）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 技术能力</w:t>
            </w:r>
          </w:p>
        </w:tc>
        <w:tc>
          <w:tcPr>
            <w:tcW w:type="dxa" w:w="3322"/>
          </w:tcPr>
          <w:p>
            <w:pPr>
              <w:pStyle w:val="null3"/>
            </w:pPr>
            <w:r>
              <w:rPr>
                <w:rFonts w:ascii="仿宋_GB2312" w:hAnsi="仿宋_GB2312" w:cs="仿宋_GB2312" w:eastAsia="仿宋_GB2312"/>
              </w:rPr>
              <w:t>提供具有履行合同所必需的设备和专业技术能 力的书面声明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 活动中没有重大违法记录</w:t>
            </w:r>
          </w:p>
        </w:tc>
        <w:tc>
          <w:tcPr>
            <w:tcW w:type="dxa" w:w="3322"/>
          </w:tcPr>
          <w:p>
            <w:pPr>
              <w:pStyle w:val="null3"/>
            </w:pPr>
            <w:r>
              <w:rPr>
                <w:rFonts w:ascii="仿宋_GB2312" w:hAnsi="仿宋_GB2312" w:cs="仿宋_GB2312" w:eastAsia="仿宋_GB2312"/>
              </w:rPr>
              <w:t>提供参加政府采购活动前3年内在经营活动中没 有重大违法记录书面声明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法定代表人身份证明/法定代表人授 权委托书</w:t>
            </w:r>
          </w:p>
        </w:tc>
        <w:tc>
          <w:tcPr>
            <w:tcW w:type="dxa" w:w="3322"/>
          </w:tcPr>
          <w:p>
            <w:pPr>
              <w:pStyle w:val="null3"/>
            </w:pPr>
            <w:r>
              <w:rPr>
                <w:rFonts w:ascii="仿宋_GB2312" w:hAnsi="仿宋_GB2312" w:cs="仿宋_GB2312" w:eastAsia="仿宋_GB2312"/>
              </w:rPr>
              <w:t>法定代表人身份证明/法定代表人授权委托书有效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 和“ 中国政府采购网”（ccgp.gov.cn）为供应 商信用信息查询渠道。供应商在投标截止时间 当天未被列入“信用中国（中国执行信息公开网 ) ” 网站“失信被执行人” 、“重大税收违法失信 主体” 、“政府采购严重违法失信行为记录名单” 、“ 中国政府采购网”“政府采购严重违法失信行 为记录名单” 。 采购代理机构将查询记录作为证 据留存（如网站无供应商信息的，供应商须提 供合理说明并由采购人决定是否予以采纳）。</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分包资质</w:t>
            </w:r>
          </w:p>
        </w:tc>
        <w:tc>
          <w:tcPr>
            <w:tcW w:type="dxa" w:w="3322"/>
          </w:tcPr>
          <w:p>
            <w:pPr>
              <w:pStyle w:val="null3"/>
            </w:pPr>
            <w:r>
              <w:rPr>
                <w:rFonts w:ascii="仿宋_GB2312" w:hAnsi="仿宋_GB2312" w:cs="仿宋_GB2312" w:eastAsia="仿宋_GB2312"/>
              </w:rPr>
              <w:t>分包：符合“农建发【2022】3号文”相关要求</w:t>
            </w:r>
          </w:p>
        </w:tc>
        <w:tc>
          <w:tcPr>
            <w:tcW w:type="dxa" w:w="1661"/>
          </w:tcPr>
          <w:p>
            <w:pPr>
              <w:pStyle w:val="null3"/>
            </w:pPr>
            <w:r>
              <w:rPr>
                <w:rFonts w:ascii="仿宋_GB2312" w:hAnsi="仿宋_GB2312" w:cs="仿宋_GB2312" w:eastAsia="仿宋_GB2312"/>
              </w:rPr>
              <w:t>业绩一览表.docx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符合招标文件签字盖章的要求。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1.在评标过程中，评标委员会认为投标人报价低 于采购预算50%或者低于其他有效投标人报价 算术平均价40%，有可能影响产品质量或者不 能诚信履约的，评标委员会应当要求其在合理 的时间内提供成本构成书面说明，并提交相关 证明材料。书面说明应当按照国家财务会计制 度的规定要求，逐项就投标人提供的货物、工 程和服务的主营业务成本（应根据投标人企业 类型予以区别）、税金及附加、销售费用、管 理费用、财务费用等成本构成事项详细陈述。 2 .投标人提交的相关说明和证明材料，应当加盖 投标人（法定名称）电子印章，在评标委员会 要求的时间内通过项目电子化交易系统进行提 交，否则提交的相关证明材料无效。投标人不 能证明其投标报价合理性的，评标委员会应当 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投标文件份数</w:t>
            </w:r>
          </w:p>
        </w:tc>
        <w:tc>
          <w:tcPr>
            <w:tcW w:type="dxa" w:w="3322"/>
          </w:tcPr>
          <w:p>
            <w:pPr>
              <w:pStyle w:val="null3"/>
            </w:pPr>
            <w:r>
              <w:rPr>
                <w:rFonts w:ascii="仿宋_GB2312" w:hAnsi="仿宋_GB2312" w:cs="仿宋_GB2312" w:eastAsia="仿宋_GB2312"/>
              </w:rPr>
              <w:t>除按照招标文件要求在项目电子化交易系统中 提交合格电子版外，投标人须承诺：如我方中 标（成交），将按照采购人要求的份数提交和 电子文件一致并加盖公章的纸质版投标文件。</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符合招标文件采购内容的要求。</w:t>
            </w:r>
          </w:p>
        </w:tc>
        <w:tc>
          <w:tcPr>
            <w:tcW w:type="dxa" w:w="1661"/>
          </w:tcPr>
          <w:p>
            <w:pPr>
              <w:pStyle w:val="null3"/>
            </w:pPr>
            <w:r>
              <w:rPr>
                <w:rFonts w:ascii="仿宋_GB2312" w:hAnsi="仿宋_GB2312" w:cs="仿宋_GB2312" w:eastAsia="仿宋_GB2312"/>
              </w:rPr>
              <w:t>开标一览表 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合同签订之日起至2025年12月31日（具体时间以全国土壤普查办工作安排时间为准）</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质量要求（服务标准）</w:t>
            </w:r>
          </w:p>
        </w:tc>
        <w:tc>
          <w:tcPr>
            <w:tcW w:type="dxa" w:w="3322"/>
          </w:tcPr>
          <w:p>
            <w:pPr>
              <w:pStyle w:val="null3"/>
            </w:pPr>
            <w:r>
              <w:rPr>
                <w:rFonts w:ascii="仿宋_GB2312" w:hAnsi="仿宋_GB2312" w:cs="仿宋_GB2312" w:eastAsia="仿宋_GB2312"/>
              </w:rPr>
              <w:t>符合国家第三次全国土壤普查相关规范要求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符合第二章投标人须知2.4.8条规定</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有效投标价格</w:t>
            </w:r>
          </w:p>
        </w:tc>
        <w:tc>
          <w:tcPr>
            <w:tcW w:type="dxa" w:w="3322"/>
          </w:tcPr>
          <w:p>
            <w:pPr>
              <w:pStyle w:val="null3"/>
            </w:pPr>
            <w:r>
              <w:rPr>
                <w:rFonts w:ascii="仿宋_GB2312" w:hAnsi="仿宋_GB2312" w:cs="仿宋_GB2312" w:eastAsia="仿宋_GB2312"/>
              </w:rPr>
              <w:t>不高于采购预算及最高投标限价</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权利义务</w:t>
            </w:r>
          </w:p>
        </w:tc>
        <w:tc>
          <w:tcPr>
            <w:tcW w:type="dxa" w:w="3322"/>
          </w:tcPr>
          <w:p>
            <w:pPr>
              <w:pStyle w:val="null3"/>
            </w:pPr>
            <w:r>
              <w:rPr>
                <w:rFonts w:ascii="仿宋_GB2312" w:hAnsi="仿宋_GB2312" w:cs="仿宋_GB2312" w:eastAsia="仿宋_GB2312"/>
              </w:rPr>
              <w:t>符合或优于招标文件的相关规定。</w:t>
            </w:r>
          </w:p>
        </w:tc>
        <w:tc>
          <w:tcPr>
            <w:tcW w:type="dxa" w:w="1661"/>
          </w:tcPr>
          <w:p>
            <w:pPr>
              <w:pStyle w:val="null3"/>
            </w:pPr>
            <w:r>
              <w:rPr>
                <w:rFonts w:ascii="仿宋_GB2312" w:hAnsi="仿宋_GB2312" w:cs="仿宋_GB2312" w:eastAsia="仿宋_GB2312"/>
              </w:rPr>
              <w:t>服务内容及服务邀请应答表 投标函 服务方案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1.服务内容全面、方案实施可行性强得24分； 2.服务内容较全面、方案实施可行得20分； 3.服务内容不够全面、方案实施针对性和可操作性有欠缺得14分。 （总分按评审因素的得分直接进行累加，不考虑权重。）</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项目的特点、关键性 技术问题的认识及其 对策措施</w:t>
            </w:r>
          </w:p>
        </w:tc>
        <w:tc>
          <w:tcPr>
            <w:tcW w:type="dxa" w:w="2492"/>
          </w:tcPr>
          <w:p>
            <w:pPr>
              <w:pStyle w:val="null3"/>
            </w:pPr>
            <w:r>
              <w:rPr>
                <w:rFonts w:ascii="仿宋_GB2312" w:hAnsi="仿宋_GB2312" w:cs="仿宋_GB2312" w:eastAsia="仿宋_GB2312"/>
              </w:rPr>
              <w:t>1、认识全面、难点分析透彻；应 对措施有针对性、且合理可行的得 10分； 2、认识全面、难点分析较 透彻；有保证措施、较可行的得7 分； 3、认识、难点分析欠缺；应 对措施有欠缺的得4分。 （总分按 评审因素的得分直接进行累加，不 考虑权重。）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工作量安排及进度保 障措施</w:t>
            </w:r>
          </w:p>
        </w:tc>
        <w:tc>
          <w:tcPr>
            <w:tcW w:type="dxa" w:w="2492"/>
          </w:tcPr>
          <w:p>
            <w:pPr>
              <w:pStyle w:val="null3"/>
            </w:pPr>
            <w:r>
              <w:rPr>
                <w:rFonts w:ascii="仿宋_GB2312" w:hAnsi="仿宋_GB2312" w:cs="仿宋_GB2312" w:eastAsia="仿宋_GB2312"/>
              </w:rPr>
              <w:t>1、计划安排合理、措施有针对性 、且合理可行得10分； 2、计划安 排较合理、有保证措施得7分； 3 、计划安排及保障措施有欠缺得4 分。 （总分按评审因素的得分直接 进行累加，不考虑权重。）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质量、安全等保障措 施</w:t>
            </w:r>
          </w:p>
        </w:tc>
        <w:tc>
          <w:tcPr>
            <w:tcW w:type="dxa" w:w="2492"/>
          </w:tcPr>
          <w:p>
            <w:pPr>
              <w:pStyle w:val="null3"/>
            </w:pPr>
            <w:r>
              <w:rPr>
                <w:rFonts w:ascii="仿宋_GB2312" w:hAnsi="仿宋_GB2312" w:cs="仿宋_GB2312" w:eastAsia="仿宋_GB2312"/>
              </w:rPr>
              <w:t>1、保证措施有针对性、且合理可 行得10分； 2、有保证措施、较可 行的得7分； 3、保证措施有欠缺 得4分。（总分按评审因素的得分 直接进行累加，不考虑权重。）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项目负责人具有（土壤、农业、地 质、环境、土地工程）相关专业高 级工程师及以上职称的得4分，具 有以上专业中级职称的得2分，其 余不得分。 1.各专业岗位人员配备 齐全，履历丰富，人员职责明确、 分工清晰、非常合理得6分； 2. 各专业岗位人员配备基本齐全，履 历较丰富，人员职责基本明确、分 工较清晰得4分； 3.各专业岗位人 员配备不齐全，履历缺乏，人员职 责不明确、分工不清晰得2分。 ( 总分按评审因素的得分直接进行累 加，不考虑权重。）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技术培训能力</w:t>
            </w:r>
          </w:p>
        </w:tc>
        <w:tc>
          <w:tcPr>
            <w:tcW w:type="dxa" w:w="2492"/>
          </w:tcPr>
          <w:p>
            <w:pPr>
              <w:pStyle w:val="null3"/>
            </w:pPr>
            <w:r>
              <w:rPr>
                <w:rFonts w:ascii="仿宋_GB2312" w:hAnsi="仿宋_GB2312" w:cs="仿宋_GB2312" w:eastAsia="仿宋_GB2312"/>
              </w:rPr>
              <w:t>1.对技术培训关键节点把握准确， 进度掌控能力强，培训场所空间充 足，舒适性和便利性强得10分； 2 .对技术培训关键节点把握较准确， 进度掌控能力较强，培训场所空间 较充足，舒适性和便利性较强得7 分； 3.对技术培训关键节点把握不 准确，进度掌控能力一般，培训场 所空间不足，舒适性和便利性一般 得4分。（总分按评审因素的得分 直接进行累加，不考虑权重。）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2018年1月1日及以后（以合同签 订或其它证明材料时间为准）完成 过土壤普查或调查项目或土地相关 咨询服务项目，每有1项得2分，最 高得16分。（业绩以提供合同或其 它证明材料为准） （总分按评审因 素的得分直接进行累加，不考虑权 重。）</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满足招标文件要求且投标报价最低的为评标基准价，其价格分为满分。投标报价得分=（评标基准价/评标价） ×10。 注：因落实政府采购政策进行价格调整的，以调整后的价格计算评标基准价和投标报价(调整后的投标报价即为评标价）。 （总分按评审因素的得分直接进行 累加，不考虑权重。）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