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版本号：SZT2025-SN-SC-ZC-HW-069220250829001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高水平专业群建设—机电一体化技术专业群内涵建设提升项目(二次)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SZT2025-SN-SC-ZC-HW-0692</w:t>
      </w:r>
      <w:r>
        <w:br/>
      </w:r>
      <w:r>
        <w:br/>
      </w:r>
      <w:r>
        <w:br/>
      </w:r>
    </w:p>
    <w:p>
      <w:pPr>
        <w:pStyle w:val="null3"/>
        <w:jc w:val="center"/>
        <w:outlineLvl w:val="2"/>
      </w:pPr>
      <w:r>
        <w:rPr>
          <w:rFonts w:ascii="仿宋_GB2312" w:hAnsi="仿宋_GB2312" w:cs="仿宋_GB2312" w:eastAsia="仿宋_GB2312"/>
          <w:sz w:val="28"/>
          <w:b/>
        </w:rPr>
        <w:t>陕西机电职业技术学院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陕西机电职业技术学院</w:t>
      </w:r>
      <w:r>
        <w:rPr>
          <w:rFonts w:ascii="仿宋_GB2312" w:hAnsi="仿宋_GB2312" w:cs="仿宋_GB2312" w:eastAsia="仿宋_GB2312"/>
        </w:rPr>
        <w:t>委托，拟对</w:t>
      </w:r>
      <w:r>
        <w:rPr>
          <w:rFonts w:ascii="仿宋_GB2312" w:hAnsi="仿宋_GB2312" w:cs="仿宋_GB2312" w:eastAsia="仿宋_GB2312"/>
        </w:rPr>
        <w:t>高水平专业群建设—机电一体化技术专业群内涵建设提升项目(二次)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SZT2025-SN-SC-ZC-HW-0692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高水平专业群建设—机电一体化技术专业群内涵建设提升项目(二次)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机电一体化技术专业群内涵建设提升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1、法定代表人授权委托书：法定代表人直接参加投标的，须提供法定代表人身份证，并与营业执照上信息一致。被授权代表参加投标的，须提供法定代表人授权书;</w:t>
      </w:r>
    </w:p>
    <w:p>
      <w:pPr>
        <w:pStyle w:val="null3"/>
      </w:pPr>
      <w:r>
        <w:rPr>
          <w:rFonts w:ascii="仿宋_GB2312" w:hAnsi="仿宋_GB2312" w:cs="仿宋_GB2312" w:eastAsia="仿宋_GB2312"/>
        </w:rPr>
        <w:t>2、本项目不接受联合体参与：本项目不接受联合体参与，单位负责人为同一人或者存在直接控股、管理关系的不同单位，不得参加同一项下的采购活动。对列入失信被执行人、政府采购严重违法失信行为记录名单的供应商，拒绝参与本项目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陕西机电职业技术学院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宝鸡市宝福路56号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0917-3633960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开户名称：陕西中技招标有限公司（向我公司转账时，请备注清楚项目编号后四位）</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应向采购代理机构交纳招标代理服务费。采购代理服务费的收取参照国家计委颁布的《招标代理服务费收费管理暂行办法》（计价格[2002]1980号）中的收费标准，按照中标金额差额定率累进法下浮20％计算（不足人民币伍仟元按伍仟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陕西机电职业技术学院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陕西机电职业技术学院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陕西机电职业技术学院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2、本合同及附件文本； 3、国家相应的标准、规范。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机电一体化技术专业群内涵建设提升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钛产业校企资源共享平台建设服务项目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标的名称：钛产业校企资源共享平台建设服务项目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255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采购需求表</w:t>
                  </w:r>
                </w:p>
              </w:tc>
            </w:tr>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项目名称</w:t>
                  </w:r>
                </w:p>
              </w:tc>
              <w:tc>
                <w:tcPr>
                  <w:tcW w:type="dxa" w:w="2044"/>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钛产业校企资源共享平台建设服务项目</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商</w:t>
                  </w:r>
                  <w:r>
                    <w:br/>
                  </w:r>
                  <w:r>
                    <w:rPr>
                      <w:rFonts w:ascii="仿宋_GB2312" w:hAnsi="仿宋_GB2312" w:cs="仿宋_GB2312" w:eastAsia="仿宋_GB2312"/>
                      <w:sz w:val="20"/>
                    </w:rPr>
                    <w:t>务</w:t>
                  </w:r>
                  <w:r>
                    <w:br/>
                  </w:r>
                  <w:r>
                    <w:rPr>
                      <w:rFonts w:ascii="仿宋_GB2312" w:hAnsi="仿宋_GB2312" w:cs="仿宋_GB2312" w:eastAsia="仿宋_GB2312"/>
                      <w:sz w:val="20"/>
                    </w:rPr>
                    <w:t>需</w:t>
                  </w:r>
                  <w:r>
                    <w:br/>
                  </w:r>
                  <w:r>
                    <w:rPr>
                      <w:rFonts w:ascii="仿宋_GB2312" w:hAnsi="仿宋_GB2312" w:cs="仿宋_GB2312" w:eastAsia="仿宋_GB2312"/>
                      <w:sz w:val="20"/>
                    </w:rPr>
                    <w:t>求</w:t>
                  </w:r>
                </w:p>
              </w:tc>
              <w:tc>
                <w:tcPr>
                  <w:tcW w:type="dxa" w:w="204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项目概况：</w:t>
                  </w:r>
                  <w:r>
                    <w:rPr>
                      <w:rFonts w:ascii="仿宋_GB2312" w:hAnsi="仿宋_GB2312" w:cs="仿宋_GB2312" w:eastAsia="仿宋_GB2312"/>
                      <w:sz w:val="20"/>
                    </w:rPr>
                    <w:t>该项目的实施主要是完成</w:t>
                  </w:r>
                  <w:r>
                    <w:rPr>
                      <w:rFonts w:ascii="仿宋_GB2312" w:hAnsi="仿宋_GB2312" w:cs="仿宋_GB2312" w:eastAsia="仿宋_GB2312"/>
                      <w:sz w:val="20"/>
                    </w:rPr>
                    <w:t>2</w:t>
                  </w:r>
                  <w:r>
                    <w:rPr>
                      <w:rFonts w:ascii="仿宋_GB2312" w:hAnsi="仿宋_GB2312" w:cs="仿宋_GB2312" w:eastAsia="仿宋_GB2312"/>
                      <w:sz w:val="20"/>
                    </w:rPr>
                    <w:t>个建设目标。一是</w:t>
                  </w:r>
                  <w:r>
                    <w:rPr>
                      <w:rFonts w:ascii="仿宋_GB2312" w:hAnsi="仿宋_GB2312" w:cs="仿宋_GB2312" w:eastAsia="仿宋_GB2312"/>
                      <w:sz w:val="20"/>
                    </w:rPr>
                    <w:t>“</w:t>
                  </w:r>
                  <w:r>
                    <w:rPr>
                      <w:rFonts w:ascii="仿宋_GB2312" w:hAnsi="仿宋_GB2312" w:cs="仿宋_GB2312" w:eastAsia="仿宋_GB2312"/>
                      <w:sz w:val="20"/>
                    </w:rPr>
                    <w:t>钛</w:t>
                  </w:r>
                  <w:r>
                    <w:rPr>
                      <w:rFonts w:ascii="仿宋_GB2312" w:hAnsi="仿宋_GB2312" w:cs="仿宋_GB2312" w:eastAsia="仿宋_GB2312"/>
                      <w:sz w:val="20"/>
                    </w:rPr>
                    <w:t>'</w:t>
                  </w:r>
                  <w:r>
                    <w:rPr>
                      <w:rFonts w:ascii="仿宋_GB2312" w:hAnsi="仿宋_GB2312" w:cs="仿宋_GB2312" w:eastAsia="仿宋_GB2312"/>
                      <w:sz w:val="20"/>
                    </w:rPr>
                    <w:t>想告诉你</w:t>
                  </w:r>
                  <w:r>
                    <w:rPr>
                      <w:rFonts w:ascii="仿宋_GB2312" w:hAnsi="仿宋_GB2312" w:cs="仿宋_GB2312" w:eastAsia="仿宋_GB2312"/>
                      <w:sz w:val="20"/>
                    </w:rPr>
                    <w:t>”</w:t>
                  </w:r>
                  <w:r>
                    <w:rPr>
                      <w:rFonts w:ascii="仿宋_GB2312" w:hAnsi="仿宋_GB2312" w:cs="仿宋_GB2312" w:eastAsia="仿宋_GB2312"/>
                      <w:sz w:val="20"/>
                    </w:rPr>
                    <w:t>媒体平台运营，旨在打造一个具有独特视角、内容丰富、互动性强的账号，提升学校知名度的效果。二是开发</w:t>
                  </w:r>
                  <w:r>
                    <w:rPr>
                      <w:rFonts w:ascii="仿宋_GB2312" w:hAnsi="仿宋_GB2312" w:cs="仿宋_GB2312" w:eastAsia="仿宋_GB2312"/>
                      <w:sz w:val="20"/>
                    </w:rPr>
                    <w:t>“</w:t>
                  </w:r>
                  <w:r>
                    <w:rPr>
                      <w:rFonts w:ascii="仿宋_GB2312" w:hAnsi="仿宋_GB2312" w:cs="仿宋_GB2312" w:eastAsia="仿宋_GB2312"/>
                      <w:sz w:val="20"/>
                    </w:rPr>
                    <w:t>钛想告诉你</w:t>
                  </w:r>
                  <w:r>
                    <w:rPr>
                      <w:rFonts w:ascii="仿宋_GB2312" w:hAnsi="仿宋_GB2312" w:cs="仿宋_GB2312" w:eastAsia="仿宋_GB2312"/>
                      <w:sz w:val="20"/>
                    </w:rPr>
                    <w:t>”</w:t>
                  </w:r>
                  <w:r>
                    <w:rPr>
                      <w:rFonts w:ascii="仿宋_GB2312" w:hAnsi="仿宋_GB2312" w:cs="仿宋_GB2312" w:eastAsia="仿宋_GB2312"/>
                      <w:sz w:val="20"/>
                    </w:rPr>
                    <w:t>信息服务平台，以微信小程序的模式开发一个针对宝鸡地区钛产业市场的信息服务平台。集企业产品展示、交易、互动交流、信息发布等功能于一体。</w:t>
                  </w:r>
                  <w:r>
                    <w:rPr>
                      <w:rFonts w:ascii="仿宋_GB2312" w:hAnsi="仿宋_GB2312" w:cs="仿宋_GB2312" w:eastAsia="仿宋_GB2312"/>
                      <w:sz w:val="21"/>
                    </w:rPr>
                    <w:t xml:space="preserve"> </w:t>
                  </w:r>
                  <w:r>
                    <w:br/>
                  </w:r>
                  <w:r>
                    <w:rPr>
                      <w:rFonts w:ascii="仿宋_GB2312" w:hAnsi="仿宋_GB2312" w:cs="仿宋_GB2312" w:eastAsia="仿宋_GB2312"/>
                      <w:sz w:val="20"/>
                    </w:rPr>
                    <w:t>2.</w:t>
                  </w:r>
                  <w:r>
                    <w:rPr>
                      <w:rFonts w:ascii="仿宋_GB2312" w:hAnsi="仿宋_GB2312" w:cs="仿宋_GB2312" w:eastAsia="仿宋_GB2312"/>
                      <w:sz w:val="20"/>
                    </w:rPr>
                    <w:t>运营</w:t>
                  </w:r>
                  <w:r>
                    <w:rPr>
                      <w:rFonts w:ascii="仿宋_GB2312" w:hAnsi="仿宋_GB2312" w:cs="仿宋_GB2312" w:eastAsia="仿宋_GB2312"/>
                      <w:sz w:val="20"/>
                    </w:rPr>
                    <w:t>服务</w:t>
                  </w:r>
                  <w:r>
                    <w:rPr>
                      <w:rFonts w:ascii="仿宋_GB2312" w:hAnsi="仿宋_GB2312" w:cs="仿宋_GB2312" w:eastAsia="仿宋_GB2312"/>
                      <w:sz w:val="20"/>
                    </w:rPr>
                    <w:t>期：服务期</w:t>
                  </w:r>
                  <w:r>
                    <w:rPr>
                      <w:rFonts w:ascii="仿宋_GB2312" w:hAnsi="仿宋_GB2312" w:cs="仿宋_GB2312" w:eastAsia="仿宋_GB2312"/>
                      <w:sz w:val="20"/>
                    </w:rPr>
                    <w:t>180天。</w:t>
                  </w:r>
                  <w:r>
                    <w:br/>
                  </w:r>
                  <w:r>
                    <w:rPr>
                      <w:rFonts w:ascii="仿宋_GB2312" w:hAnsi="仿宋_GB2312" w:cs="仿宋_GB2312" w:eastAsia="仿宋_GB2312"/>
                      <w:sz w:val="20"/>
                    </w:rPr>
                    <w:t>3.</w:t>
                  </w:r>
                  <w:r>
                    <w:rPr>
                      <w:rFonts w:ascii="仿宋_GB2312" w:hAnsi="仿宋_GB2312" w:cs="仿宋_GB2312" w:eastAsia="仿宋_GB2312"/>
                      <w:sz w:val="20"/>
                    </w:rPr>
                    <w:t>交货地点：陕西机电职业技术学院指定交货地点。</w:t>
                  </w:r>
                  <w:r>
                    <w:br/>
                  </w:r>
                  <w:r>
                    <w:rPr>
                      <w:rFonts w:ascii="仿宋_GB2312" w:hAnsi="仿宋_GB2312" w:cs="仿宋_GB2312" w:eastAsia="仿宋_GB2312"/>
                      <w:sz w:val="20"/>
                    </w:rPr>
                    <w:t>4.</w:t>
                  </w:r>
                  <w:r>
                    <w:rPr>
                      <w:rFonts w:ascii="仿宋_GB2312" w:hAnsi="仿宋_GB2312" w:cs="仿宋_GB2312" w:eastAsia="仿宋_GB2312"/>
                      <w:sz w:val="20"/>
                    </w:rPr>
                    <w:t>付款方式：验收合格后，于</w:t>
                  </w:r>
                  <w:r>
                    <w:rPr>
                      <w:rFonts w:ascii="仿宋_GB2312" w:hAnsi="仿宋_GB2312" w:cs="仿宋_GB2312" w:eastAsia="仿宋_GB2312"/>
                      <w:sz w:val="20"/>
                    </w:rPr>
                    <w:t>30</w:t>
                  </w:r>
                  <w:r>
                    <w:rPr>
                      <w:rFonts w:ascii="仿宋_GB2312" w:hAnsi="仿宋_GB2312" w:cs="仿宋_GB2312" w:eastAsia="仿宋_GB2312"/>
                      <w:sz w:val="20"/>
                    </w:rPr>
                    <w:t>日之内一次性支付。</w:t>
                  </w:r>
                </w:p>
              </w:tc>
            </w:tr>
            <w:tr>
              <w:tc>
                <w:tcPr>
                  <w:tcW w:type="dxa" w:w="51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w:t>
                  </w:r>
                  <w:r>
                    <w:br/>
                  </w:r>
                  <w:r>
                    <w:rPr>
                      <w:rFonts w:ascii="仿宋_GB2312" w:hAnsi="仿宋_GB2312" w:cs="仿宋_GB2312" w:eastAsia="仿宋_GB2312"/>
                      <w:sz w:val="20"/>
                    </w:rPr>
                    <w:t>术</w:t>
                  </w:r>
                  <w:r>
                    <w:br/>
                  </w:r>
                  <w:r>
                    <w:rPr>
                      <w:rFonts w:ascii="仿宋_GB2312" w:hAnsi="仿宋_GB2312" w:cs="仿宋_GB2312" w:eastAsia="仿宋_GB2312"/>
                      <w:sz w:val="20"/>
                    </w:rPr>
                    <w:t>需</w:t>
                  </w:r>
                  <w:r>
                    <w:br/>
                  </w:r>
                  <w:r>
                    <w:rPr>
                      <w:rFonts w:ascii="仿宋_GB2312" w:hAnsi="仿宋_GB2312" w:cs="仿宋_GB2312" w:eastAsia="仿宋_GB2312"/>
                      <w:sz w:val="20"/>
                    </w:rPr>
                    <w:t>求</w:t>
                  </w:r>
                </w:p>
              </w:tc>
              <w:tc>
                <w:tcPr>
                  <w:tcW w:type="dxa" w:w="51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w:t>
                  </w:r>
                  <w:r>
                    <w:rPr>
                      <w:rFonts w:ascii="仿宋_GB2312" w:hAnsi="仿宋_GB2312" w:cs="仿宋_GB2312" w:eastAsia="仿宋_GB2312"/>
                      <w:sz w:val="20"/>
                    </w:rPr>
                    <w:t>/</w:t>
                  </w:r>
                  <w:r>
                    <w:rPr>
                      <w:rFonts w:ascii="仿宋_GB2312" w:hAnsi="仿宋_GB2312" w:cs="仿宋_GB2312" w:eastAsia="仿宋_GB2312"/>
                      <w:sz w:val="20"/>
                    </w:rPr>
                    <w:t>服务名称</w:t>
                  </w:r>
                </w:p>
              </w:tc>
              <w:tc>
                <w:tcPr>
                  <w:tcW w:type="dxa" w:w="5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技术规格及功能要求</w:t>
                  </w:r>
                </w:p>
              </w:tc>
              <w:tc>
                <w:tcPr>
                  <w:tcW w:type="dxa" w:w="5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r>
                    <w:rPr>
                      <w:rFonts w:ascii="仿宋_GB2312" w:hAnsi="仿宋_GB2312" w:cs="仿宋_GB2312" w:eastAsia="仿宋_GB2312"/>
                      <w:sz w:val="20"/>
                    </w:rPr>
                    <w:t>(台/套)</w:t>
                  </w:r>
                </w:p>
              </w:tc>
              <w:tc>
                <w:tcPr>
                  <w:tcW w:type="dxa" w:w="5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“钛想告诉你”媒体运营平台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一、项目服务总体要求</w:t>
                  </w:r>
                  <w:r>
                    <w:br/>
                  </w:r>
                  <w:r>
                    <w:rPr>
                      <w:rFonts w:ascii="仿宋_GB2312" w:hAnsi="仿宋_GB2312" w:cs="仿宋_GB2312" w:eastAsia="仿宋_GB2312"/>
                      <w:sz w:val="22"/>
                    </w:rPr>
                    <w:t>为平台整体内容方向和内容定位进行策划，包括账号内容定位、选题方向、文案策划、脚本制作等，推文类不限于微信公众号，视频类不限于微信视频号、抖音号。</w:t>
                  </w:r>
                  <w:r>
                    <w:br/>
                  </w:r>
                  <w:r>
                    <w:rPr>
                      <w:rFonts w:ascii="仿宋_GB2312" w:hAnsi="仿宋_GB2312" w:cs="仿宋_GB2312" w:eastAsia="仿宋_GB2312"/>
                      <w:sz w:val="22"/>
                      <w:b/>
                    </w:rPr>
                    <w:t>二、内容产出要求</w:t>
                  </w:r>
                  <w:r>
                    <w:br/>
                  </w:r>
                  <w:r>
                    <w:rPr>
                      <w:rFonts w:ascii="仿宋_GB2312" w:hAnsi="仿宋_GB2312" w:cs="仿宋_GB2312" w:eastAsia="仿宋_GB2312"/>
                      <w:sz w:val="22"/>
                    </w:rPr>
                    <w:t>1.图文内容：内容包含钛知识科普、钛加工技术、钛产品推介、钛产业企业推广、活动汇报等。</w:t>
                  </w:r>
                  <w:r>
                    <w:br/>
                  </w:r>
                  <w:r>
                    <w:rPr>
                      <w:rFonts w:ascii="仿宋_GB2312" w:hAnsi="仿宋_GB2312" w:cs="仿宋_GB2312" w:eastAsia="仿宋_GB2312"/>
                      <w:sz w:val="24"/>
                    </w:rPr>
                    <w:t>▲</w:t>
                  </w:r>
                  <w:r>
                    <w:rPr>
                      <w:rFonts w:ascii="仿宋_GB2312" w:hAnsi="仿宋_GB2312" w:cs="仿宋_GB2312" w:eastAsia="仿宋_GB2312"/>
                      <w:sz w:val="22"/>
                    </w:rPr>
                    <w:t>发布频率要求：钛知识科普、钛加工技术类字数不少于</w:t>
                  </w:r>
                  <w:r>
                    <w:rPr>
                      <w:rFonts w:ascii="仿宋_GB2312" w:hAnsi="仿宋_GB2312" w:cs="仿宋_GB2312" w:eastAsia="仿宋_GB2312"/>
                      <w:sz w:val="22"/>
                    </w:rPr>
                    <w:t>500字，不少于20篇；钛产品推广类不少于1000字，不少于25篇；钛企业推介类不少于2000字，不少于25篇；钛产业相关活动，不少于30篇。</w:t>
                  </w:r>
                  <w:r>
                    <w:br/>
                  </w:r>
                  <w:r>
                    <w:rPr>
                      <w:rFonts w:ascii="仿宋_GB2312" w:hAnsi="仿宋_GB2312" w:cs="仿宋_GB2312" w:eastAsia="仿宋_GB2312"/>
                      <w:sz w:val="22"/>
                    </w:rPr>
                    <w:t>2.视频制作：</w:t>
                  </w:r>
                  <w:r>
                    <w:br/>
                  </w:r>
                  <w:r>
                    <w:rPr>
                      <w:rFonts w:ascii="仿宋_GB2312" w:hAnsi="仿宋_GB2312" w:cs="仿宋_GB2312" w:eastAsia="仿宋_GB2312"/>
                      <w:sz w:val="22"/>
                    </w:rPr>
                    <w:t>内容包含钛产品测评、人物访谈、人设打造、知识科普、企业推介等。钛产品测评类，视频时长不小于</w:t>
                  </w:r>
                  <w:r>
                    <w:rPr>
                      <w:rFonts w:ascii="仿宋_GB2312" w:hAnsi="仿宋_GB2312" w:cs="仿宋_GB2312" w:eastAsia="仿宋_GB2312"/>
                      <w:sz w:val="22"/>
                    </w:rPr>
                    <w:t>30秒。人物访谈类，视频时长不小于60秒。人设打造类，视频时长不小于90秒。知识科普类，视频时长不小于90秒。企业推介类，视频时长不小于60秒。</w:t>
                  </w:r>
                  <w:r>
                    <w:br/>
                  </w:r>
                  <w:r>
                    <w:rPr>
                      <w:rFonts w:ascii="仿宋_GB2312" w:hAnsi="仿宋_GB2312" w:cs="仿宋_GB2312" w:eastAsia="仿宋_GB2312"/>
                      <w:sz w:val="24"/>
                    </w:rPr>
                    <w:t>▲</w:t>
                  </w:r>
                  <w:r>
                    <w:rPr>
                      <w:rFonts w:ascii="仿宋_GB2312" w:hAnsi="仿宋_GB2312" w:cs="仿宋_GB2312" w:eastAsia="仿宋_GB2312"/>
                      <w:sz w:val="22"/>
                    </w:rPr>
                    <w:t>发布频率要求：每周不少于</w:t>
                  </w:r>
                  <w:r>
                    <w:rPr>
                      <w:rFonts w:ascii="仿宋_GB2312" w:hAnsi="仿宋_GB2312" w:cs="仿宋_GB2312" w:eastAsia="仿宋_GB2312"/>
                      <w:sz w:val="22"/>
                    </w:rPr>
                    <w:t>2条，项目建设期内总数不少于80条（6条宣传片，27条脚本短视频，47条剪辑短视频）</w:t>
                  </w:r>
                  <w:r>
                    <w:br/>
                  </w:r>
                  <w:r>
                    <w:rPr>
                      <w:rFonts w:ascii="仿宋_GB2312" w:hAnsi="仿宋_GB2312" w:cs="仿宋_GB2312" w:eastAsia="仿宋_GB2312"/>
                      <w:sz w:val="22"/>
                      <w:b/>
                    </w:rPr>
                    <w:t>三、项目运营要求</w:t>
                  </w:r>
                  <w:r>
                    <w:br/>
                  </w:r>
                  <w:r>
                    <w:rPr>
                      <w:rFonts w:ascii="仿宋_GB2312" w:hAnsi="仿宋_GB2312" w:cs="仿宋_GB2312" w:eastAsia="仿宋_GB2312"/>
                      <w:sz w:val="22"/>
                    </w:rPr>
                    <w:t>包括但不限于抖音、视频号、公众号等平台社媒账号运营。运营工作内容需涵盖账号设计装修、账号功能搭建、账号目标达成、账号数据分析、账号内容发布、账号粉丝互动、账号数据报告等。</w:t>
                  </w:r>
                  <w:r>
                    <w:br/>
                  </w:r>
                  <w:r>
                    <w:rPr>
                      <w:rFonts w:ascii="仿宋_GB2312" w:hAnsi="仿宋_GB2312" w:cs="仿宋_GB2312" w:eastAsia="仿宋_GB2312"/>
                      <w:sz w:val="24"/>
                    </w:rPr>
                    <w:t>▲</w:t>
                  </w:r>
                  <w:r>
                    <w:rPr>
                      <w:rFonts w:ascii="仿宋_GB2312" w:hAnsi="仿宋_GB2312" w:cs="仿宋_GB2312" w:eastAsia="仿宋_GB2312"/>
                      <w:sz w:val="22"/>
                    </w:rPr>
                    <w:t>运营要求：</w:t>
                  </w:r>
                  <w:r>
                    <w:rPr>
                      <w:rFonts w:ascii="仿宋_GB2312" w:hAnsi="仿宋_GB2312" w:cs="仿宋_GB2312" w:eastAsia="仿宋_GB2312"/>
                      <w:sz w:val="22"/>
                    </w:rPr>
                    <w:t>1.日报表（在线更新）；2.月运营报告（含粉丝增长、互动率、爆款视频分析） 6份；3.</w:t>
                  </w:r>
                  <w:r>
                    <w:rPr>
                      <w:rFonts w:ascii="仿宋_GB2312" w:hAnsi="仿宋_GB2312" w:cs="仿宋_GB2312" w:eastAsia="仿宋_GB2312"/>
                      <w:sz w:val="22"/>
                      <w:b/>
                    </w:rPr>
                    <w:t>公众号</w:t>
                  </w:r>
                  <w:r>
                    <w:rPr>
                      <w:rFonts w:ascii="仿宋_GB2312" w:hAnsi="仿宋_GB2312" w:cs="仿宋_GB2312" w:eastAsia="仿宋_GB2312"/>
                      <w:sz w:val="22"/>
                    </w:rPr>
                    <w:t>平台粉丝增量</w:t>
                  </w:r>
                  <w:r>
                    <w:rPr>
                      <w:rFonts w:ascii="仿宋_GB2312" w:hAnsi="仿宋_GB2312" w:cs="仿宋_GB2312" w:eastAsia="仿宋_GB2312"/>
                      <w:sz w:val="22"/>
                    </w:rPr>
                    <w:t>5000+；4.</w:t>
                  </w:r>
                  <w:r>
                    <w:rPr>
                      <w:rFonts w:ascii="仿宋_GB2312" w:hAnsi="仿宋_GB2312" w:cs="仿宋_GB2312" w:eastAsia="仿宋_GB2312"/>
                      <w:sz w:val="22"/>
                      <w:b/>
                    </w:rPr>
                    <w:t>视频号</w:t>
                  </w:r>
                  <w:r>
                    <w:rPr>
                      <w:rFonts w:ascii="仿宋_GB2312" w:hAnsi="仿宋_GB2312" w:cs="仿宋_GB2312" w:eastAsia="仿宋_GB2312"/>
                      <w:sz w:val="22"/>
                    </w:rPr>
                    <w:t>平台粉丝增量</w:t>
                  </w:r>
                  <w:r>
                    <w:rPr>
                      <w:rFonts w:ascii="仿宋_GB2312" w:hAnsi="仿宋_GB2312" w:cs="仿宋_GB2312" w:eastAsia="仿宋_GB2312"/>
                      <w:sz w:val="22"/>
                    </w:rPr>
                    <w:t>10000+；</w:t>
                  </w:r>
                  <w:r>
                    <w:rPr>
                      <w:rFonts w:ascii="仿宋_GB2312" w:hAnsi="仿宋_GB2312" w:cs="仿宋_GB2312" w:eastAsia="仿宋_GB2312"/>
                      <w:sz w:val="22"/>
                      <w:b/>
                    </w:rPr>
                    <w:t>5.视频号平台&gt;10000播放量的视频数不少于16条。</w:t>
                  </w:r>
                </w:p>
                <w:p>
                  <w:pPr>
                    <w:pStyle w:val="null3"/>
                    <w:jc w:val="left"/>
                  </w:pPr>
                  <w:r>
                    <w:rPr>
                      <w:rFonts w:ascii="仿宋_GB2312" w:hAnsi="仿宋_GB2312" w:cs="仿宋_GB2312" w:eastAsia="仿宋_GB2312"/>
                      <w:sz w:val="22"/>
                      <w:b/>
                    </w:rPr>
                    <w:t>四、</w:t>
                  </w:r>
                  <w:r>
                    <w:rPr>
                      <w:rFonts w:ascii="仿宋_GB2312" w:hAnsi="仿宋_GB2312" w:cs="仿宋_GB2312" w:eastAsia="仿宋_GB2312"/>
                      <w:sz w:val="22"/>
                      <w:b/>
                    </w:rPr>
                    <w:t>公司</w:t>
                  </w:r>
                  <w:r>
                    <w:rPr>
                      <w:rFonts w:ascii="仿宋_GB2312" w:hAnsi="仿宋_GB2312" w:cs="仿宋_GB2312" w:eastAsia="仿宋_GB2312"/>
                      <w:sz w:val="22"/>
                      <w:b/>
                    </w:rPr>
                    <w:t>人员配备要求</w:t>
                  </w:r>
                  <w:r>
                    <w:br/>
                  </w:r>
                  <w:r>
                    <w:rPr>
                      <w:rFonts w:ascii="仿宋_GB2312" w:hAnsi="仿宋_GB2312" w:cs="仿宋_GB2312" w:eastAsia="仿宋_GB2312"/>
                      <w:sz w:val="22"/>
                    </w:rPr>
                    <w:t>拍摄</w:t>
                  </w:r>
                  <w:r>
                    <w:rPr>
                      <w:rFonts w:ascii="仿宋_GB2312" w:hAnsi="仿宋_GB2312" w:cs="仿宋_GB2312" w:eastAsia="仿宋_GB2312"/>
                      <w:sz w:val="22"/>
                    </w:rPr>
                    <w:t>≥2名，剪辑≥2名，运营≥</w:t>
                  </w:r>
                  <w:r>
                    <w:rPr>
                      <w:rFonts w:ascii="仿宋_GB2312" w:hAnsi="仿宋_GB2312" w:cs="仿宋_GB2312" w:eastAsia="仿宋_GB2312"/>
                      <w:sz w:val="22"/>
                    </w:rPr>
                    <w:t>1名。拍摄人员需要有商业摄影师资格证，剪辑人员需要有剪辑师、广告设计师或动画师资格证。</w:t>
                  </w:r>
                  <w:r>
                    <w:rPr>
                      <w:rFonts w:ascii="仿宋_GB2312" w:hAnsi="仿宋_GB2312" w:cs="仿宋_GB2312" w:eastAsia="仿宋_GB2312"/>
                      <w:sz w:val="22"/>
                      <w:b/>
                    </w:rPr>
                    <w:t>在项目</w:t>
                  </w:r>
                  <w:r>
                    <w:rPr>
                      <w:rFonts w:ascii="仿宋_GB2312" w:hAnsi="仿宋_GB2312" w:cs="仿宋_GB2312" w:eastAsia="仿宋_GB2312"/>
                      <w:sz w:val="22"/>
                      <w:b/>
                    </w:rPr>
                    <w:t>建设和运营</w:t>
                  </w:r>
                  <w:r>
                    <w:rPr>
                      <w:rFonts w:ascii="仿宋_GB2312" w:hAnsi="仿宋_GB2312" w:cs="仿宋_GB2312" w:eastAsia="仿宋_GB2312"/>
                      <w:sz w:val="22"/>
                      <w:b/>
                    </w:rPr>
                    <w:t>服务期内，公司使用自有专业设备及正版软件完成视频拍摄及后期剪辑工作</w:t>
                  </w:r>
                  <w:r>
                    <w:rPr>
                      <w:rFonts w:ascii="仿宋_GB2312" w:hAnsi="仿宋_GB2312" w:cs="仿宋_GB2312" w:eastAsia="仿宋_GB2312"/>
                      <w:sz w:val="22"/>
                      <w:b/>
                    </w:rPr>
                    <w:t>。</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“钛'想告诉你”媒体运营平台</w:t>
                  </w:r>
                </w:p>
              </w:tc>
              <w:tc>
                <w:tcPr>
                  <w:tcW w:type="dxa" w:w="5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五、项目培训服务内容及目标</w:t>
                  </w:r>
                  <w:r>
                    <w:br/>
                  </w:r>
                  <w:r>
                    <w:rPr>
                      <w:rFonts w:ascii="仿宋_GB2312" w:hAnsi="仿宋_GB2312" w:cs="仿宋_GB2312" w:eastAsia="仿宋_GB2312"/>
                      <w:sz w:val="22"/>
                    </w:rPr>
                    <w:t>培养学校专业教师与学生团队，需系统培训至少</w:t>
                  </w:r>
                  <w:r>
                    <w:rPr>
                      <w:rFonts w:ascii="仿宋_GB2312" w:hAnsi="仿宋_GB2312" w:cs="仿宋_GB2312" w:eastAsia="仿宋_GB2312"/>
                      <w:sz w:val="22"/>
                    </w:rPr>
                    <w:t>2名教师。培训内容包括选题策划、内容脚本、数据分析、平台工具、拍摄剪辑技巧、直播设备调试、直播工具使用、直播脚本策划、直播执行等推文撰写、视频创作及平台运营推广等方面。</w:t>
                  </w:r>
                  <w:r>
                    <w:rPr>
                      <w:rFonts w:ascii="仿宋_GB2312" w:hAnsi="仿宋_GB2312" w:cs="仿宋_GB2312" w:eastAsia="仿宋_GB2312"/>
                      <w:sz w:val="22"/>
                    </w:rPr>
                    <w:t>要求相关人员掌握以下技能：熟练</w:t>
                  </w:r>
                  <w:r>
                    <w:rPr>
                      <w:rFonts w:ascii="仿宋_GB2312" w:hAnsi="仿宋_GB2312" w:cs="仿宋_GB2312" w:eastAsia="仿宋_GB2312"/>
                      <w:sz w:val="22"/>
                    </w:rPr>
                    <w:t>操作专业录播设备系统、精通视频剪辑与后期制作技术、具备新媒体账号运营能力，最终达到能够独立完成高品质课程录制与直播全流程工作的水平。</w:t>
                  </w:r>
                  <w:r>
                    <w:br/>
                  </w:r>
                  <w:r>
                    <w:rPr>
                      <w:rFonts w:ascii="仿宋_GB2312" w:hAnsi="仿宋_GB2312" w:cs="仿宋_GB2312" w:eastAsia="仿宋_GB2312"/>
                      <w:sz w:val="22"/>
                    </w:rPr>
                    <w:t>培训时长最低要求：线下</w:t>
                  </w:r>
                  <w:r>
                    <w:rPr>
                      <w:rFonts w:ascii="仿宋_GB2312" w:hAnsi="仿宋_GB2312" w:cs="仿宋_GB2312" w:eastAsia="仿宋_GB2312"/>
                      <w:sz w:val="22"/>
                    </w:rPr>
                    <w:t>2次/月，线上培训20次，每次培训60-90分钟。项目服务期内保障及时响应师生咨询和定期分享新技能。</w:t>
                  </w:r>
                  <w:r>
                    <w:br/>
                  </w:r>
                  <w:r>
                    <w:rPr>
                      <w:rFonts w:ascii="仿宋_GB2312" w:hAnsi="仿宋_GB2312" w:cs="仿宋_GB2312" w:eastAsia="仿宋_GB2312"/>
                      <w:sz w:val="22"/>
                      <w:b/>
                    </w:rPr>
                    <w:t>六、采购清单</w:t>
                  </w:r>
                  <w:r>
                    <w:br/>
                  </w:r>
                  <w:r>
                    <w:rPr>
                      <w:rFonts w:ascii="仿宋_GB2312" w:hAnsi="仿宋_GB2312" w:cs="仿宋_GB2312" w:eastAsia="仿宋_GB2312"/>
                      <w:sz w:val="22"/>
                      <w:b/>
                    </w:rPr>
                    <w:t>附后</w:t>
                  </w:r>
                  <w:r>
                    <w:br/>
                  </w:r>
                  <w:r>
                    <w:rPr>
                      <w:rFonts w:ascii="仿宋_GB2312" w:hAnsi="仿宋_GB2312" w:cs="仿宋_GB2312" w:eastAsia="仿宋_GB2312"/>
                      <w:sz w:val="22"/>
                      <w:b/>
                    </w:rPr>
                    <w:t>七、</w:t>
                  </w:r>
                  <w:r>
                    <w:rPr>
                      <w:rFonts w:ascii="仿宋_GB2312" w:hAnsi="仿宋_GB2312" w:cs="仿宋_GB2312" w:eastAsia="仿宋_GB2312"/>
                      <w:sz w:val="22"/>
                      <w:b/>
                    </w:rPr>
                    <w:t>项目经费及使用范围</w:t>
                  </w:r>
                </w:p>
                <w:p>
                  <w:pPr>
                    <w:pStyle w:val="null3"/>
                    <w:jc w:val="left"/>
                  </w:pPr>
                  <w:r>
                    <w:rPr>
                      <w:rFonts w:ascii="仿宋_GB2312" w:hAnsi="仿宋_GB2312" w:cs="仿宋_GB2312" w:eastAsia="仿宋_GB2312"/>
                      <w:sz w:val="22"/>
                      <w:b/>
                    </w:rPr>
                    <w:t>项目经费使用范围：</w:t>
                  </w:r>
                  <w:r>
                    <w:rPr>
                      <w:rFonts w:ascii="仿宋_GB2312" w:hAnsi="仿宋_GB2312" w:cs="仿宋_GB2312" w:eastAsia="仿宋_GB2312"/>
                      <w:sz w:val="22"/>
                    </w:rPr>
                    <w:t>涵盖乙方在媒体内容创作、平台推广及</w:t>
                  </w:r>
                  <w:r>
                    <w:rPr>
                      <w:rFonts w:ascii="仿宋_GB2312" w:hAnsi="仿宋_GB2312" w:cs="仿宋_GB2312" w:eastAsia="仿宋_GB2312"/>
                      <w:sz w:val="22"/>
                      <w:b/>
                    </w:rPr>
                    <w:t>相关培训</w:t>
                  </w:r>
                  <w:r>
                    <w:rPr>
                      <w:rFonts w:ascii="仿宋_GB2312" w:hAnsi="仿宋_GB2312" w:cs="仿宋_GB2312" w:eastAsia="仿宋_GB2312"/>
                      <w:sz w:val="22"/>
                    </w:rPr>
                    <w:t>等活动中产生的以下费用：服装、妆造及道具费用、场地租赁费用、软件服务费用、人工劳务费用、交通差旅费用。</w:t>
                  </w:r>
                  <w:r>
                    <w:rPr>
                      <w:rFonts w:ascii="仿宋_GB2312" w:hAnsi="仿宋_GB2312" w:cs="仿宋_GB2312" w:eastAsia="仿宋_GB2312"/>
                      <w:sz w:val="22"/>
                      <w:b/>
                    </w:rPr>
                    <w:t>同时包含甲方购置拍摄器材的费用。</w:t>
                  </w:r>
                </w:p>
                <w:p>
                  <w:pPr>
                    <w:pStyle w:val="null3"/>
                    <w:jc w:val="left"/>
                  </w:pPr>
                  <w:r>
                    <w:rPr>
                      <w:rFonts w:ascii="仿宋_GB2312" w:hAnsi="仿宋_GB2312" w:cs="仿宋_GB2312" w:eastAsia="仿宋_GB2312"/>
                      <w:sz w:val="22"/>
                      <w:b/>
                    </w:rPr>
                    <w:t>八、知识产权归属约定：</w:t>
                  </w:r>
                </w:p>
                <w:p>
                  <w:pPr>
                    <w:pStyle w:val="null3"/>
                    <w:jc w:val="left"/>
                  </w:pPr>
                  <w:r>
                    <w:rPr>
                      <w:rFonts w:ascii="仿宋_GB2312" w:hAnsi="仿宋_GB2312" w:cs="仿宋_GB2312" w:eastAsia="仿宋_GB2312"/>
                      <w:sz w:val="22"/>
                      <w:b/>
                    </w:rPr>
                    <w:t>1.在本项目全生命周期（包括建设期及运营服务期）内，通过各媒体平台发布的所有图文资料、视频资料及其衍生作品的著作权、邻接权及其他相关知识产权均独家归属于甲方所有。</w:t>
                  </w:r>
                </w:p>
                <w:p>
                  <w:pPr>
                    <w:pStyle w:val="null3"/>
                    <w:jc w:val="left"/>
                  </w:pPr>
                  <w:r>
                    <w:rPr>
                      <w:rFonts w:ascii="仿宋_GB2312" w:hAnsi="仿宋_GB2312" w:cs="仿宋_GB2312" w:eastAsia="仿宋_GB2312"/>
                      <w:sz w:val="22"/>
                      <w:b/>
                    </w:rPr>
                    <w:t>2.乙方确认并承诺为甲方创作的全部内容均为原创作品，不侵犯任何第三方知识产权，不得将创作内容用于其他商业用途。</w:t>
                  </w:r>
                </w:p>
                <w:p>
                  <w:pPr>
                    <w:pStyle w:val="null3"/>
                    <w:jc w:val="left"/>
                  </w:pPr>
                </w:p>
              </w:tc>
              <w:tc>
                <w:tcPr>
                  <w:tcW w:type="dxa" w:w="51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5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“钛想告诉你”信息服务平台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一、项目建设目标</w:t>
                  </w:r>
                  <w:r>
                    <w:br/>
                  </w:r>
                  <w:r>
                    <w:rPr>
                      <w:rFonts w:ascii="仿宋_GB2312" w:hAnsi="仿宋_GB2312" w:cs="仿宋_GB2312" w:eastAsia="仿宋_GB2312"/>
                      <w:sz w:val="22"/>
                    </w:rPr>
                    <w:t>本项目立足宝鸡</w:t>
                  </w:r>
                  <w:r>
                    <w:rPr>
                      <w:rFonts w:ascii="仿宋_GB2312" w:hAnsi="仿宋_GB2312" w:cs="仿宋_GB2312" w:eastAsia="仿宋_GB2312"/>
                      <w:sz w:val="22"/>
                    </w:rPr>
                    <w:t>"中国钛谷"产业优势，结合高校科研教育资源，构建“双平台”运营体系，其中信息服务平台：“钛想告诉你”企业信息服务平台主要是针对宝鸡地区钛产业市场的信息服务平台。集企业产品供需信息交换、产品展示、企业展示、招聘发布、知识科普等功能于一体，构建钛产业校企资源共享平台。融合“钛想告诉你”媒体平台内容，向钛产业企业员工、校内学生提供钛专业学习资源。</w:t>
                  </w:r>
                  <w:r>
                    <w:br/>
                  </w:r>
                  <w:r>
                    <w:rPr>
                      <w:rFonts w:ascii="仿宋_GB2312" w:hAnsi="仿宋_GB2312" w:cs="仿宋_GB2312" w:eastAsia="仿宋_GB2312"/>
                      <w:sz w:val="22"/>
                      <w:b/>
                    </w:rPr>
                    <w:t>二、核心模块说明</w:t>
                  </w:r>
                  <w:r>
                    <w:br/>
                  </w:r>
                  <w:r>
                    <w:rPr>
                      <w:rFonts w:ascii="仿宋_GB2312" w:hAnsi="仿宋_GB2312" w:cs="仿宋_GB2312" w:eastAsia="仿宋_GB2312"/>
                      <w:sz w:val="22"/>
                      <w:b/>
                    </w:rPr>
                    <w:t>1.智能搜索引擎模块</w:t>
                  </w:r>
                  <w:r>
                    <w:br/>
                  </w:r>
                  <w:r>
                    <w:rPr>
                      <w:rFonts w:ascii="仿宋_GB2312" w:hAnsi="仿宋_GB2312" w:cs="仿宋_GB2312" w:eastAsia="仿宋_GB2312"/>
                      <w:sz w:val="22"/>
                    </w:rPr>
                    <w:t>智能搜索引擎系统需基于自然语言处理与语义理解技术，深度融合大模型接口，支持用户通过自然语言查询（如</w:t>
                  </w:r>
                  <w:r>
                    <w:rPr>
                      <w:rFonts w:ascii="仿宋_GB2312" w:hAnsi="仿宋_GB2312" w:cs="仿宋_GB2312" w:eastAsia="仿宋_GB2312"/>
                      <w:sz w:val="22"/>
                    </w:rPr>
                    <w:t>"耐腐蚀钛合金板材"）实现语义级精准解析。系统通过智能推荐算法生成结构化结果，依据知识库自动生成AI技术参数说明，涵盖材料特性与应用场景；其次基于企业资质、认证证书等数据，智能匹配相关企业并按照资质认证匹配度排序推荐；通过知识库管理模块的文档分类体系与企业资料中心的产品数据支撑。</w:t>
                  </w:r>
                  <w:r>
                    <w:br/>
                  </w:r>
                  <w:r>
                    <w:rPr>
                      <w:rFonts w:ascii="仿宋_GB2312" w:hAnsi="仿宋_GB2312" w:cs="仿宋_GB2312" w:eastAsia="仿宋_GB2312"/>
                      <w:sz w:val="22"/>
                      <w:b/>
                    </w:rPr>
                    <w:t>2.企业信息管理模块</w:t>
                  </w:r>
                  <w:r>
                    <w:br/>
                  </w:r>
                  <w:r>
                    <w:rPr>
                      <w:rFonts w:ascii="仿宋_GB2312" w:hAnsi="仿宋_GB2312" w:cs="仿宋_GB2312" w:eastAsia="仿宋_GB2312"/>
                      <w:sz w:val="22"/>
                    </w:rPr>
                    <w:t>企业可在平台提交相关企业信息：包含企业的基本信息、加工能力，拥有的设备、联系方式等；产品信息：包含产品的具体参数（牌号、型号、规格等）及详细说明；人才需求信息：人员招聘相关信息。</w:t>
                  </w:r>
                  <w:r>
                    <w:br/>
                  </w:r>
                  <w:r>
                    <w:rPr>
                      <w:rFonts w:ascii="仿宋_GB2312" w:hAnsi="仿宋_GB2312" w:cs="仿宋_GB2312" w:eastAsia="仿宋_GB2312"/>
                      <w:sz w:val="22"/>
                    </w:rPr>
                    <w:t>需支持多格式数据上传功能，包括企业简介、产品信息、证书等，数据格式要求</w:t>
                  </w:r>
                  <w:r>
                    <w:rPr>
                      <w:rFonts w:ascii="仿宋_GB2312" w:hAnsi="仿宋_GB2312" w:cs="仿宋_GB2312" w:eastAsia="仿宋_GB2312"/>
                      <w:sz w:val="22"/>
                    </w:rPr>
                    <w:t>txt文本、docx、pdf等输入），采用审核流程（企业提交</w:t>
                  </w:r>
                  <w:r>
                    <w:rPr>
                      <w:rFonts w:ascii="仿宋_GB2312" w:hAnsi="仿宋_GB2312" w:cs="仿宋_GB2312" w:eastAsia="仿宋_GB2312"/>
                      <w:sz w:val="22"/>
                      <w:b/>
                    </w:rPr>
                    <w:t>，</w:t>
                  </w:r>
                  <w:r>
                    <w:rPr>
                      <w:rFonts w:ascii="仿宋_GB2312" w:hAnsi="仿宋_GB2312" w:cs="仿宋_GB2312" w:eastAsia="仿宋_GB2312"/>
                      <w:sz w:val="22"/>
                    </w:rPr>
                    <w:t>管理员完成敏感信息过滤及合规性审核）。</w:t>
                  </w:r>
                  <w:r>
                    <w:br/>
                  </w:r>
                  <w:r>
                    <w:rPr>
                      <w:rFonts w:ascii="仿宋_GB2312" w:hAnsi="仿宋_GB2312" w:cs="仿宋_GB2312" w:eastAsia="仿宋_GB2312"/>
                      <w:sz w:val="24"/>
                    </w:rPr>
                    <w:t>▲</w:t>
                  </w:r>
                  <w:r>
                    <w:rPr>
                      <w:rFonts w:ascii="仿宋_GB2312" w:hAnsi="仿宋_GB2312" w:cs="仿宋_GB2312" w:eastAsia="仿宋_GB2312"/>
                      <w:sz w:val="22"/>
                      <w:b/>
                    </w:rPr>
                    <w:t>3.钛知识科普模块</w:t>
                  </w:r>
                </w:p>
                <w:p>
                  <w:pPr>
                    <w:pStyle w:val="null3"/>
                    <w:jc w:val="left"/>
                  </w:pPr>
                  <w:r>
                    <w:rPr>
                      <w:rFonts w:ascii="仿宋_GB2312" w:hAnsi="仿宋_GB2312" w:cs="仿宋_GB2312" w:eastAsia="仿宋_GB2312"/>
                      <w:sz w:val="22"/>
                    </w:rPr>
                    <w:t>用户可自定义上传知识数据，也可同步微信公众号内容；可对相关数据进行标签分类，具体涵盖多级分类体系（如钛金属基础属性、生产工艺、应用领域、行业标准等）及自定义标签功能（如耐腐蚀性</w:t>
                  </w:r>
                  <w:r>
                    <w:rPr>
                      <w:rFonts w:ascii="仿宋_GB2312" w:hAnsi="仿宋_GB2312" w:cs="仿宋_GB2312" w:eastAsia="仿宋_GB2312"/>
                      <w:sz w:val="22"/>
                    </w:rPr>
                    <w:t>/航空航天/医用钛合金等）；支持图文混排、视频嵌入和兼容主流格式的模型展示，并提供分类模板；同时需建立内容审核机制，实现敏感词自动过滤（如涉密技术参数）和人工二次审核流程，确保内容合规性。</w:t>
                  </w:r>
                </w:p>
              </w:tc>
              <w:tc>
                <w:tcPr>
                  <w:tcW w:type="dxa" w:w="5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5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三、系统架构及布署要求</w:t>
                  </w:r>
                  <w:r>
                    <w:br/>
                  </w:r>
                  <w:r>
                    <w:rPr>
                      <w:rFonts w:ascii="仿宋_GB2312" w:hAnsi="仿宋_GB2312" w:cs="仿宋_GB2312" w:eastAsia="仿宋_GB2312"/>
                      <w:sz w:val="22"/>
                    </w:rPr>
                    <w:t>1.采用B/S架构，支持Web端及移动端自适应访问。</w:t>
                  </w:r>
                  <w:r>
                    <w:br/>
                  </w:r>
                  <w:r>
                    <w:rPr>
                      <w:rFonts w:ascii="仿宋_GB2312" w:hAnsi="仿宋_GB2312" w:cs="仿宋_GB2312" w:eastAsia="仿宋_GB2312"/>
                      <w:sz w:val="22"/>
                    </w:rPr>
                    <w:t>2.模块化设计，同时设计可扩展接口。</w:t>
                  </w:r>
                </w:p>
                <w:p>
                  <w:pPr>
                    <w:pStyle w:val="null3"/>
                    <w:jc w:val="left"/>
                  </w:pPr>
                  <w:r>
                    <w:rPr>
                      <w:rFonts w:ascii="仿宋_GB2312" w:hAnsi="仿宋_GB2312" w:cs="仿宋_GB2312" w:eastAsia="仿宋_GB2312"/>
                      <w:sz w:val="22"/>
                    </w:rPr>
                    <w:t>3.安全性要求：认证与授权采用OAuth 2.0协议保护API的安全性，确保只有授权用户能够访问敏感信息；输入验证能满足防止SQL注入、XSS攻击等要求；数据加密对传输中和静态存储的数据进行加密处理，保障数据隐私；安全配置遵循NIST SP 800-53标准，确保操作系统和应用程序的安全</w:t>
                  </w:r>
                  <w:r>
                    <w:rPr>
                      <w:rFonts w:ascii="仿宋_GB2312" w:hAnsi="仿宋_GB2312" w:cs="仿宋_GB2312" w:eastAsia="仿宋_GB2312"/>
                      <w:sz w:val="22"/>
                      <w:b/>
                    </w:rPr>
                    <w:t>运行</w:t>
                  </w:r>
                  <w:r>
                    <w:rPr>
                      <w:rFonts w:ascii="仿宋_GB2312" w:hAnsi="仿宋_GB2312" w:cs="仿宋_GB2312" w:eastAsia="仿宋_GB2312"/>
                      <w:sz w:val="22"/>
                    </w:rPr>
                    <w:t>。</w:t>
                  </w:r>
                  <w:r>
                    <w:br/>
                  </w:r>
                  <w:r>
                    <w:rPr>
                      <w:rFonts w:ascii="仿宋_GB2312" w:hAnsi="仿宋_GB2312" w:cs="仿宋_GB2312" w:eastAsia="仿宋_GB2312"/>
                      <w:sz w:val="22"/>
                    </w:rPr>
                    <w:t>4.云布署：CPU≥8核≥16G，系统盘≥40G，数据盘≥500G，带宽≥10M，1个公网IP。具有运维服务团队以及</w:t>
                  </w:r>
                  <w:r>
                    <w:rPr>
                      <w:rFonts w:ascii="仿宋_GB2312" w:hAnsi="仿宋_GB2312" w:cs="仿宋_GB2312" w:eastAsia="仿宋_GB2312"/>
                      <w:sz w:val="22"/>
                      <w:b/>
                    </w:rPr>
                    <w:t>提供</w:t>
                  </w:r>
                  <w:r>
                    <w:rPr>
                      <w:rFonts w:ascii="仿宋_GB2312" w:hAnsi="仿宋_GB2312" w:cs="仿宋_GB2312" w:eastAsia="仿宋_GB2312"/>
                      <w:sz w:val="22"/>
                    </w:rPr>
                    <w:t>7*24小时在线服务。</w:t>
                  </w:r>
                  <w:r>
                    <w:br/>
                  </w:r>
                  <w:r>
                    <w:rPr>
                      <w:rFonts w:ascii="仿宋_GB2312" w:hAnsi="仿宋_GB2312" w:cs="仿宋_GB2312" w:eastAsia="仿宋_GB2312"/>
                      <w:sz w:val="22"/>
                    </w:rPr>
                    <w:t>5.大模型搭建：搭建基于本平台钛产业相关内容的专属数据库，协助训练行业大模型。按需提供用户模型训练的算力资源。</w:t>
                  </w:r>
                  <w:r>
                    <w:br/>
                  </w:r>
                  <w:r>
                    <w:rPr>
                      <w:rFonts w:ascii="仿宋_GB2312" w:hAnsi="仿宋_GB2312" w:cs="仿宋_GB2312" w:eastAsia="仿宋_GB2312"/>
                      <w:sz w:val="22"/>
                    </w:rPr>
                    <w:t>6.平台需满足1000+人同时在线使用。</w:t>
                  </w:r>
                  <w:r>
                    <w:br/>
                  </w:r>
                  <w:r>
                    <w:rPr>
                      <w:rFonts w:ascii="仿宋_GB2312" w:hAnsi="仿宋_GB2312" w:cs="仿宋_GB2312" w:eastAsia="仿宋_GB2312"/>
                      <w:sz w:val="22"/>
                    </w:rPr>
                    <w:t>7.企业知识库资源中需包含不低于15家企业的产能及产品详细信息。</w:t>
                  </w:r>
                  <w:r>
                    <w:br/>
                  </w:r>
                  <w:r>
                    <w:rPr>
                      <w:rFonts w:ascii="仿宋_GB2312" w:hAnsi="仿宋_GB2312" w:cs="仿宋_GB2312" w:eastAsia="仿宋_GB2312"/>
                      <w:sz w:val="22"/>
                      <w:b/>
                    </w:rPr>
                    <w:t>四、项目服务</w:t>
                  </w:r>
                  <w:r>
                    <w:br/>
                  </w:r>
                  <w:r>
                    <w:rPr>
                      <w:rFonts w:ascii="仿宋_GB2312" w:hAnsi="仿宋_GB2312" w:cs="仿宋_GB2312" w:eastAsia="仿宋_GB2312"/>
                      <w:sz w:val="22"/>
                    </w:rPr>
                    <w:t>1.项目交付前，企业信息库中涵盖企业不低于15家。</w:t>
                  </w:r>
                  <w:r>
                    <w:br/>
                  </w:r>
                  <w:r>
                    <w:rPr>
                      <w:rFonts w:ascii="仿宋_GB2312" w:hAnsi="仿宋_GB2312" w:cs="仿宋_GB2312" w:eastAsia="仿宋_GB2312"/>
                      <w:sz w:val="22"/>
                    </w:rPr>
                    <w:t>2.项目交付前，需培训至少1名校内人员，熟练掌握平台维护技术。</w:t>
                  </w:r>
                  <w:r>
                    <w:br/>
                  </w:r>
                  <w:r>
                    <w:rPr>
                      <w:rFonts w:ascii="仿宋_GB2312" w:hAnsi="仿宋_GB2312" w:cs="仿宋_GB2312" w:eastAsia="仿宋_GB2312"/>
                      <w:sz w:val="22"/>
                    </w:rPr>
                    <w:t>3.提供项目平台的市场推广、活动策划服务。</w:t>
                  </w:r>
                  <w:r>
                    <w:br/>
                  </w:r>
                  <w:r>
                    <w:rPr>
                      <w:rFonts w:ascii="仿宋_GB2312" w:hAnsi="仿宋_GB2312" w:cs="仿宋_GB2312" w:eastAsia="仿宋_GB2312"/>
                      <w:sz w:val="22"/>
                    </w:rPr>
                    <w:t>4.项目承建商具备</w:t>
                  </w:r>
                  <w:r>
                    <w:rPr>
                      <w:rFonts w:ascii="仿宋_GB2312" w:hAnsi="仿宋_GB2312" w:cs="仿宋_GB2312" w:eastAsia="仿宋_GB2312"/>
                      <w:sz w:val="22"/>
                    </w:rPr>
                    <w:t>本地</w:t>
                  </w:r>
                  <w:r>
                    <w:rPr>
                      <w:rFonts w:ascii="仿宋_GB2312" w:hAnsi="仿宋_GB2312" w:cs="仿宋_GB2312" w:eastAsia="仿宋_GB2312"/>
                      <w:sz w:val="22"/>
                    </w:rPr>
                    <w:t>技术支撑、运维能力。</w:t>
                  </w:r>
                  <w:r>
                    <w:br/>
                  </w:r>
                  <w:r>
                    <w:rPr>
                      <w:rFonts w:ascii="仿宋_GB2312" w:hAnsi="仿宋_GB2312" w:cs="仿宋_GB2312" w:eastAsia="仿宋_GB2312"/>
                      <w:sz w:val="22"/>
                      <w:b/>
                    </w:rPr>
                    <w:t>五、项目经费和使用范围说明</w:t>
                  </w:r>
                </w:p>
                <w:p>
                  <w:pPr>
                    <w:pStyle w:val="null3"/>
                    <w:jc w:val="left"/>
                  </w:pPr>
                  <w:r>
                    <w:rPr>
                      <w:rFonts w:ascii="仿宋_GB2312" w:hAnsi="仿宋_GB2312" w:cs="仿宋_GB2312" w:eastAsia="仿宋_GB2312"/>
                      <w:sz w:val="22"/>
                      <w:b/>
                    </w:rPr>
                    <w:t>项目经费使用范围：</w:t>
                  </w:r>
                  <w:r>
                    <w:rPr>
                      <w:rFonts w:ascii="仿宋_GB2312" w:hAnsi="仿宋_GB2312" w:cs="仿宋_GB2312" w:eastAsia="仿宋_GB2312"/>
                      <w:sz w:val="22"/>
                    </w:rPr>
                    <w:t>涵盖乙方在平台开发（包含域名申请、服务器布署）、项目推广、人员培训等活动中所产生的费用。</w:t>
                  </w:r>
                </w:p>
                <w:p>
                  <w:pPr>
                    <w:pStyle w:val="null3"/>
                    <w:jc w:val="left"/>
                  </w:pPr>
                  <w:r>
                    <w:rPr>
                      <w:rFonts w:ascii="仿宋_GB2312" w:hAnsi="仿宋_GB2312" w:cs="仿宋_GB2312" w:eastAsia="仿宋_GB2312"/>
                      <w:sz w:val="22"/>
                      <w:b/>
                    </w:rPr>
                    <w:t>六、</w:t>
                  </w:r>
                  <w:r>
                    <w:rPr>
                      <w:rFonts w:ascii="仿宋_GB2312" w:hAnsi="仿宋_GB2312" w:cs="仿宋_GB2312" w:eastAsia="仿宋_GB2312"/>
                      <w:sz w:val="22"/>
                      <w:b/>
                    </w:rPr>
                    <w:t>知识产权归属</w:t>
                  </w:r>
                </w:p>
                <w:p>
                  <w:pPr>
                    <w:pStyle w:val="null3"/>
                    <w:jc w:val="left"/>
                  </w:pPr>
                  <w:r>
                    <w:rPr>
                      <w:rFonts w:ascii="仿宋_GB2312" w:hAnsi="仿宋_GB2312" w:cs="仿宋_GB2312" w:eastAsia="仿宋_GB2312"/>
                      <w:sz w:val="22"/>
                      <w:b/>
                    </w:rPr>
                    <w:t>1.本项目开发过程中产生的所有成果物，包括但不限于全部源代码、技术文档、用户手册及操作指南的完整著作权及其他知识产权均永久且排他性地归属于甲方所有。</w:t>
                  </w:r>
                </w:p>
                <w:p>
                  <w:pPr>
                    <w:pStyle w:val="null3"/>
                    <w:jc w:val="left"/>
                  </w:pPr>
                  <w:r>
                    <w:rPr>
                      <w:rFonts w:ascii="仿宋_GB2312" w:hAnsi="仿宋_GB2312" w:cs="仿宋_GB2312" w:eastAsia="仿宋_GB2312"/>
                      <w:sz w:val="22"/>
                      <w:b/>
                    </w:rPr>
                    <w:t>2.乙方确认承诺，交付的所有代码及文档均为原创作品，不包含任何第三方专有代码或开源协议限制的代码，需提供完整的代码注释和技术交接文档，未经甲方书面许可不得留存副本或用于其他项目。</w:t>
                  </w:r>
                </w:p>
              </w:tc>
              <w:tc>
                <w:tcPr>
                  <w:tcW w:type="dxa" w:w="5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1"/>
              </w:rPr>
              <w:t>附件：</w:t>
            </w:r>
            <w:r>
              <w:rPr>
                <w:rFonts w:ascii="仿宋_GB2312" w:hAnsi="仿宋_GB2312" w:cs="仿宋_GB2312" w:eastAsia="仿宋_GB2312"/>
                <w:sz w:val="21"/>
                <w:b/>
              </w:rPr>
              <w:t>“钛想告诉你”媒体运营项目设备采购清单</w:t>
            </w:r>
          </w:p>
          <w:tbl>
            <w:tblPr>
              <w:tblInd w:type="dxa" w:w="120"/>
              <w:tblBorders>
                <w:top w:val="none" w:color="000000" w:sz="4"/>
                <w:left w:val="none" w:color="000000" w:sz="4"/>
                <w:bottom w:val="none" w:color="000000" w:sz="4"/>
                <w:right w:val="none" w:color="000000" w:sz="4"/>
                <w:insideH w:val="none"/>
                <w:insideV w:val="none"/>
              </w:tblBorders>
            </w:tblPr>
            <w:tblGrid>
              <w:gridCol w:w="192"/>
              <w:gridCol w:w="291"/>
              <w:gridCol w:w="1866"/>
              <w:gridCol w:w="192"/>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参数要求</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摄像机</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1.传感器：有效像素≥3300万 全画幅，2.视频录制：支持4K 60P，3.对焦方式：自动对焦、手动对焦、实时眼部对焦，4.视频采样：≥4:2:0 10bit，5.液晶屏类型：≥3英寸，触摸屏，6.防抖性能：5轴防抖，7.接口：USB、HDMI、WIFI，8.录音系统:4通道24-bit录音，9.内置冷却风扇，10.快门速度：1/8000-30S，11.ISO：最高扩展≥204800，12.AF追踪灵敏度设置≥5种，13.双卡槽，SD UHS-II存储卡。</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镜头</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1.焦距：24-105mm，2.最大光圈：F4，3.滤镜直径：77mm，4.对焦锁定按钮，5.自动对焦马达支持自动对焦，6.AF/MF切换支持，7.具备实时跟踪自动对焦系统，8.具备变焦平滑度调节器。</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拍摄设备电池</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1.电池容量≥2400mAh，2.≥2块电池，3.Type-C口输入，4.含同品牌快充充电器</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存储卡</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1.容量≥128G，2.读取速度≥270MB/S，3.写入速度≥150MB/s，4.产品类型：SD卡</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稳定器</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 防滑。2.云台类型: 三轴云台平移/横滚/俯仰三轴防抖。3.拍摄功能: 动态演示、专业防抖、智能追踪、手势遥控、支持蓝牙快门控制。4.适用机型: 单反/微单、兼容主流机型。5.承重：</w:t>
                  </w:r>
                  <w:r>
                    <w:rPr>
                      <w:rFonts w:ascii="仿宋_GB2312" w:hAnsi="仿宋_GB2312" w:cs="仿宋_GB2312" w:eastAsia="仿宋_GB2312"/>
                      <w:sz w:val="21"/>
                    </w:rPr>
                    <w:t>≥</w:t>
                  </w:r>
                  <w:r>
                    <w:rPr>
                      <w:rFonts w:ascii="仿宋_GB2312" w:hAnsi="仿宋_GB2312" w:cs="仿宋_GB2312" w:eastAsia="仿宋_GB2312"/>
                      <w:sz w:val="21"/>
                    </w:rPr>
                    <w:t>3 kg。 6.云台充电接口: USB-C、支持PD快充。7.电池续航：≥2</w:t>
                  </w:r>
                  <w:r>
                    <w:rPr>
                      <w:rFonts w:ascii="仿宋_GB2312" w:hAnsi="仿宋_GB2312" w:cs="仿宋_GB2312" w:eastAsia="仿宋_GB2312"/>
                      <w:sz w:val="21"/>
                    </w:rPr>
                    <w:t>4</w:t>
                  </w:r>
                  <w:r>
                    <w:rPr>
                      <w:rFonts w:ascii="仿宋_GB2312" w:hAnsi="仿宋_GB2312" w:cs="仿宋_GB2312" w:eastAsia="仿宋_GB2312"/>
                      <w:sz w:val="21"/>
                    </w:rPr>
                    <w:t>小时。</w:t>
                  </w:r>
                  <w:r>
                    <w:rPr>
                      <w:rFonts w:ascii="仿宋_GB2312" w:hAnsi="仿宋_GB2312" w:cs="仿宋_GB2312" w:eastAsia="仿宋_GB2312"/>
                      <w:sz w:val="21"/>
                    </w:rPr>
                    <w:t>8.轴体范围: 平移轴360°无限位、横滚轴-95°至+240°、俯仰轴-112°至+214°。9.无线配置：蓝牙5.1。10.工作频率：2.400 GHz–2.4835 GHz。11.屏幕：</w:t>
                  </w:r>
                  <w:r>
                    <w:rPr>
                      <w:rFonts w:ascii="仿宋_GB2312" w:hAnsi="仿宋_GB2312" w:cs="仿宋_GB2312" w:eastAsia="仿宋_GB2312"/>
                      <w:sz w:val="21"/>
                    </w:rPr>
                    <w:t>≥</w:t>
                  </w:r>
                  <w:r>
                    <w:rPr>
                      <w:rFonts w:ascii="仿宋_GB2312" w:hAnsi="仿宋_GB2312" w:cs="仿宋_GB2312" w:eastAsia="仿宋_GB2312"/>
                      <w:sz w:val="21"/>
                    </w:rPr>
                    <w:t>1.8英寸OLED触摸屏。12、支持横竖拍切换、自动轴锁、 RSA接口。</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摄影灯</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1.色温调节范围≥2700K-6500K，2.灯控分离，3.360°可旋转全方位调节，4.LED透反屏控制窗口，5.色彩逼真度：RF≥95，6.色彩饱和度：RG≥100，7.显色指数：CRI≥96，8.工作频率：2.4G</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麦克风</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麦克风：</w:t>
                  </w:r>
                  <w:r>
                    <w:rPr>
                      <w:rFonts w:ascii="仿宋_GB2312" w:hAnsi="仿宋_GB2312" w:cs="仿宋_GB2312" w:eastAsia="仿宋_GB2312"/>
                      <w:sz w:val="21"/>
                    </w:rPr>
                    <w:t>1.传输距离：</w:t>
                  </w:r>
                  <w:r>
                    <w:rPr>
                      <w:rFonts w:ascii="仿宋_GB2312" w:hAnsi="仿宋_GB2312" w:cs="仿宋_GB2312" w:eastAsia="仿宋_GB2312"/>
                      <w:sz w:val="21"/>
                    </w:rPr>
                    <w:t>≥</w:t>
                  </w:r>
                  <w:r>
                    <w:rPr>
                      <w:rFonts w:ascii="仿宋_GB2312" w:hAnsi="仿宋_GB2312" w:cs="仿宋_GB2312" w:eastAsia="仿宋_GB2312"/>
                      <w:sz w:val="21"/>
                    </w:rPr>
                    <w:t>400米，2.续航：</w:t>
                  </w:r>
                  <w:r>
                    <w:rPr>
                      <w:rFonts w:ascii="仿宋_GB2312" w:hAnsi="仿宋_GB2312" w:cs="仿宋_GB2312" w:eastAsia="仿宋_GB2312"/>
                      <w:sz w:val="21"/>
                    </w:rPr>
                    <w:t>≥</w:t>
                  </w:r>
                  <w:r>
                    <w:rPr>
                      <w:rFonts w:ascii="仿宋_GB2312" w:hAnsi="仿宋_GB2312" w:cs="仿宋_GB2312" w:eastAsia="仿宋_GB2312"/>
                      <w:sz w:val="21"/>
                    </w:rPr>
                    <w:t>48小时，3.主动降噪：</w:t>
                  </w:r>
                  <w:r>
                    <w:rPr>
                      <w:rFonts w:ascii="仿宋_GB2312" w:hAnsi="仿宋_GB2312" w:cs="仿宋_GB2312" w:eastAsia="仿宋_GB2312"/>
                      <w:sz w:val="21"/>
                    </w:rPr>
                    <w:t>≥</w:t>
                  </w:r>
                  <w:r>
                    <w:rPr>
                      <w:rFonts w:ascii="仿宋_GB2312" w:hAnsi="仿宋_GB2312" w:cs="仿宋_GB2312" w:eastAsia="仿宋_GB2312"/>
                      <w:sz w:val="21"/>
                    </w:rPr>
                    <w:t>两档可调，</w:t>
                  </w:r>
                  <w:r>
                    <w:rPr>
                      <w:rFonts w:ascii="仿宋_GB2312" w:hAnsi="仿宋_GB2312" w:cs="仿宋_GB2312" w:eastAsia="仿宋_GB2312"/>
                      <w:sz w:val="21"/>
                    </w:rPr>
                    <w:t>4.最大声压级：</w:t>
                  </w:r>
                  <w:r>
                    <w:rPr>
                      <w:rFonts w:ascii="仿宋_GB2312" w:hAnsi="仿宋_GB2312" w:cs="仿宋_GB2312" w:eastAsia="仿宋_GB2312"/>
                      <w:sz w:val="21"/>
                    </w:rPr>
                    <w:t>≥</w:t>
                  </w:r>
                  <w:r>
                    <w:rPr>
                      <w:rFonts w:ascii="仿宋_GB2312" w:hAnsi="仿宋_GB2312" w:cs="仿宋_GB2312" w:eastAsia="仿宋_GB2312"/>
                      <w:sz w:val="21"/>
                    </w:rPr>
                    <w:t>120dB</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视频剪辑软件</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视频编辑支持多种分辨率输出，从标清到</w:t>
                  </w:r>
                  <w:r>
                    <w:rPr>
                      <w:rFonts w:ascii="仿宋_GB2312" w:hAnsi="仿宋_GB2312" w:cs="仿宋_GB2312" w:eastAsia="仿宋_GB2312"/>
                      <w:sz w:val="21"/>
                    </w:rPr>
                    <w:t>4K，帧率可自定义，剪辑精度可达帧级别，拼接无缝且支持多轨道操作，滤镜包含多种预设风格，特效种类包括转场、动画、AR等特效，字幕功能能识别多种语言，识别准确率高达95%以上，包含音乐素材库，支持多种音频格式导入，变声效果丰富多样，支持录屏功能，录屏分辨率和帧率可设置，支持画面与声音同步录制。</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陕西机电职业技术学院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本项目验收合格后，于30日之内一次性支付合同总额的100%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本项目质保期要求1年。质保期从验收合格后开始计算。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2、中标供应商履约延误 2-1、如中标供应商事先未征得采购人同意并得到采购人的谅解而单方面延迟执行合同，将按违约终止合同。 2-2、在履行合同过程中，如果中标供应商遇到可能妨碍按时提供服务的情况，应及时以书面形式将拖延的事实，可能拖延的期限和理由通知采购人。采购人在收到成交供应商通知后，应尽快对情况进行评价，并确定是否通过修改合同，酌情延长服务时间或对中标供应商加收误期赔偿金。每延误一周的赔偿费按合同金额的百分之零点五(0.5%)计收，直至提供服务为止。误期赔偿费的最高限额为合同价格的百分之五(5%)。一旦达到误期赔偿费的最高限额，采购人可终止合同。 3、违约终止合同：未按合同要求提供服务或不能满足技术要求，采购人会同监督机构有权终止合同，对中标供应商违约行为进行追究，同时按政府采购法的有关规定进行相应的处罚。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1、为顺利推进政府采购电子化交易平台试点应用工作，供应商需要在线提交所有通过电子化交易平台实施的政府采购项目的投标文件，同时，线下提交投标文件正本 壹 份、副本 贰份、电子版壹 份（U盘一套标明供应商名称，随正本密封）。若系统电子投标文件与纸质投标文件不一致的，以系统电子投标文件为准。 2、定标环节采购人有权对投标文件承诺响应的内容进行复核，如有虚假响应，一经发现，取消成交资格并上报财政主管部门，列入政府采购黑名单。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 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 2、2024年度经审计的财务报告或在开标日期前12个月内任意时段银行出具的资信证明； 3、提供具有履行本合同所必需专业技术能力的说明及承诺； 4、社会保障资金缴纳记录证明文件和依法缴纳税收记录证明文件（同时提供开标时间前12个月内任意1个月的社保及税收缴纳证明；依法不需要缴纳的应提供相关证明文件)；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法定代表人直接参加投标的，须提供法定代表人身份证，并与营业执照上信息一致。被授权代表参加投标的，须提供法定代表人授权书;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项下的采购活动。对列入失信被执行人、政府采购严重违法失信行为记录名单的供应商，拒绝参与本项目采购活动；</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180天</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本项目质保期要求1年。质保期从验收合格后开始计算。</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本项目验收合格后，于30日之内一次性支付合同总额的100% 。</w:t>
            </w:r>
          </w:p>
        </w:tc>
        <w:tc>
          <w:tcPr>
            <w:tcW w:type="dxa" w:w="1661"/>
          </w:tcPr>
          <w:p>
            <w:pPr>
              <w:pStyle w:val="null3"/>
            </w:pPr>
            <w:r>
              <w:rPr>
                <w:rFonts w:ascii="仿宋_GB2312" w:hAnsi="仿宋_GB2312" w:cs="仿宋_GB2312" w:eastAsia="仿宋_GB2312"/>
              </w:rPr>
              <w:t>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供应商结合学校实际情况提供针对本项目的需求理解的方案，内容包括1、实施背景；2、实施目的；3、实施意义等。内容全面详细、阐述条理清晰，每有一项缺项扣2分，每有一处内容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投标文件制作注意事项（必看）.docx</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投标文件的技术参数完全满足招标文件要求得15分，“▲”标注参数为重要技术参数。每负偏离一项扣2分，直至本项扣完为止；非“▲”参数为一般参数，每负偏离一项扣1分。 注：带“▲”参数须提供佐证材料。（佐证材料不限于：功能截图、承诺函等内容，未提供相关证明材料不得分。）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拍摄方案</w:t>
            </w:r>
          </w:p>
        </w:tc>
        <w:tc>
          <w:tcPr>
            <w:tcW w:type="dxa" w:w="2492"/>
          </w:tcPr>
          <w:p>
            <w:pPr>
              <w:pStyle w:val="null3"/>
            </w:pPr>
            <w:r>
              <w:rPr>
                <w:rFonts w:ascii="仿宋_GB2312" w:hAnsi="仿宋_GB2312" w:cs="仿宋_GB2312" w:eastAsia="仿宋_GB2312"/>
              </w:rPr>
              <w:t>供应商提供针对本项目的拍摄方案，至少包含：1、策划方案；2、拍摄思路；3、设计理念；4、艺术运用；5、拍摄过程安排等。 方案内容全面详细、阐述条理清晰，每有一项缺项扣3分，每有一处内容存在缺陷，扣0.5分，扣完为止。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软、硬件设备</w:t>
            </w:r>
          </w:p>
        </w:tc>
        <w:tc>
          <w:tcPr>
            <w:tcW w:type="dxa" w:w="2492"/>
          </w:tcPr>
          <w:p>
            <w:pPr>
              <w:pStyle w:val="null3"/>
            </w:pPr>
            <w:r>
              <w:rPr>
                <w:rFonts w:ascii="仿宋_GB2312" w:hAnsi="仿宋_GB2312" w:cs="仿宋_GB2312" w:eastAsia="仿宋_GB2312"/>
              </w:rPr>
              <w:t>供应商提供针对本项目的软、硬件设备，内容包括1、拍摄现场设备；2、拍摄场地；3、后期制作设备；4、开发设计平台等。 方案内容全面详细、阐述条理清晰，每有一项缺项扣3分，每有一处内容存在缺陷，扣0.5分，扣完为止。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拍摄进度、质量保障措施方案</w:t>
            </w:r>
          </w:p>
        </w:tc>
        <w:tc>
          <w:tcPr>
            <w:tcW w:type="dxa" w:w="2492"/>
          </w:tcPr>
          <w:p>
            <w:pPr>
              <w:pStyle w:val="null3"/>
            </w:pPr>
            <w:r>
              <w:rPr>
                <w:rFonts w:ascii="仿宋_GB2312" w:hAnsi="仿宋_GB2312" w:cs="仿宋_GB2312" w:eastAsia="仿宋_GB2312"/>
              </w:rPr>
              <w:t>供应商提供针对本项目的拍摄进度、质量保障措施的方案，至少包含：1、拍摄进度；2、质量保障措施；3、安全措施等。 方案内容全面详细、阐述条理清晰，每有一项缺项扣3分，每有一处内容存在缺陷，扣0.5分，扣完为止。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提供针对本项目提供售后服务方案，至少包含：1.售后服务内容；2.故障服务管理方案；3.紧急问题管理方案。 方案内容全面详细、阐述条理清晰、配置合理，每有一项缺项扣2分，每有一处内容存在缺陷，扣0.5分，扣完为止。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供应商提供针对本项目的培训方案，至少包含：1、提供详尽的培训方案；2、培训计划、列出培训的具体内容及方式等。 方案内容全面详细、阐述条理清晰，每有一项缺项扣2分，每有一处内容存在缺陷，扣0.5分，扣完为止。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合理化建议方案</w:t>
            </w:r>
          </w:p>
        </w:tc>
        <w:tc>
          <w:tcPr>
            <w:tcW w:type="dxa" w:w="2492"/>
          </w:tcPr>
          <w:p>
            <w:pPr>
              <w:pStyle w:val="null3"/>
            </w:pPr>
            <w:r>
              <w:rPr>
                <w:rFonts w:ascii="仿宋_GB2312" w:hAnsi="仿宋_GB2312" w:cs="仿宋_GB2312" w:eastAsia="仿宋_GB2312"/>
              </w:rPr>
              <w:t>供应商提供针对本项目的合理化建议方案。 1、方案内容切实可行、阐述条理清晰得4分； 2、方案内容未贴合项目实际情况进行论述得2分； 3、未提供不得分。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团队配备方案</w:t>
            </w:r>
          </w:p>
        </w:tc>
        <w:tc>
          <w:tcPr>
            <w:tcW w:type="dxa" w:w="2492"/>
          </w:tcPr>
          <w:p>
            <w:pPr>
              <w:pStyle w:val="null3"/>
            </w:pPr>
            <w:r>
              <w:rPr>
                <w:rFonts w:ascii="仿宋_GB2312" w:hAnsi="仿宋_GB2312" w:cs="仿宋_GB2312" w:eastAsia="仿宋_GB2312"/>
              </w:rPr>
              <w:t>供应商结合项目实际情况提供针对本项目的团队配备方案，内容包括：1、人员配备齐全、结构合理，安排计划及分配工作情况表，计划科学合理有针对性；2、人员配备能力完备等；3、内控制度：具有管理组织机构、问责机制、监督机制、自查制度。 内容全面详细、阐述条理清晰，每有一项缺项扣3分，每有一处内容存在缺陷，扣0.5分，扣完为止。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提供供应商2022年1月1日至今同类项目合同（以合同签订日期为准），每提供1个得2分，满分10分。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详见附件：服务方案、人员表及供应商认为有必要提供的其他内容.docx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详见附件：投标文件制作注意事项（必看）.docx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