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BC94E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  <w:bookmarkStart w:id="1" w:name="_GoBack"/>
      <w:bookmarkEnd w:id="1"/>
    </w:p>
    <w:p w14:paraId="68C5C5CF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4C8C1423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58009D13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09E90731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5ADDFF46">
      <w:pPr>
        <w:pStyle w:val="28"/>
        <w:rPr>
          <w:rFonts w:hint="eastAsia"/>
        </w:rPr>
      </w:pPr>
    </w:p>
    <w:p w14:paraId="56BEF9A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39D2122A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59FF9055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0A428B7E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14274AC6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161F6DCA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15428529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3A38B026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4FF2E730">
      <w:pPr>
        <w:rPr>
          <w:rFonts w:hint="eastAsia" w:ascii="宋体" w:hAnsi="宋体"/>
        </w:rPr>
      </w:pPr>
    </w:p>
    <w:p w14:paraId="5BC676EF">
      <w:pPr>
        <w:pStyle w:val="28"/>
        <w:rPr>
          <w:rFonts w:hint="eastAsia"/>
        </w:rPr>
      </w:pPr>
    </w:p>
    <w:p w14:paraId="5502A89D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47379E8F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714FD1A1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301F4418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7A1D7CDE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117BCAAC">
      <w:pPr>
        <w:pStyle w:val="28"/>
        <w:rPr>
          <w:rFonts w:hint="eastAsia"/>
        </w:rPr>
      </w:pPr>
    </w:p>
    <w:p w14:paraId="71A90C92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7258955E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5A5BD15A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494D29C6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1616DEE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4CB67C3F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75D131E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1B7F5E2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3C63DA1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75417028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0FB49F1B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37F6B476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6D8A77E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4982987F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7AE069F3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668A97F3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</w:rPr>
        <w:t>40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673BE71E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586917D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2B1CE98A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5691A63C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2328EC37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1A97265C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11B3E37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453E1D9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2A6445F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178C244B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78C73DF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641222FD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310A4279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6918F88F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6E36A600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6504688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4891D62D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7E835B23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73209C6D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7B5513C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0441D05B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0A1AE6AD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2F384091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4CEB250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7BF41B8F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62EA34CB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验收以合同、国家相应的标准、规范等为依据，进口产品应提供进口的合法手续资料。</w:t>
      </w:r>
    </w:p>
    <w:p w14:paraId="7E225F1A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07504E94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05E152B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6D22190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3BAF8A0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55CDC8E9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5C142E70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1FCFC7C2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6FAC47A9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0F367AE6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4"/>
        </w:rPr>
        <w:t>直接经济损失。</w:t>
      </w:r>
    </w:p>
    <w:p w14:paraId="19D031AD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40CAB966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39968017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0F725A89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0B2494DC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055B5118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027F7D04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07682A44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0E7D0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38B05540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3DA7477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0160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32C85E6F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5ADE81B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7CB9C78D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7274717D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01A7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36DD8A3C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468D6DCB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313AA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96C6EA0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271A3DD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4CD8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196E9049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50FFBA70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54CAE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7B8C1B4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0521A85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17C7B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7247CE83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（签字）</w:t>
            </w:r>
          </w:p>
        </w:tc>
        <w:tc>
          <w:tcPr>
            <w:tcW w:w="4726" w:type="dxa"/>
            <w:noWrap w:val="0"/>
            <w:vAlign w:val="top"/>
          </w:tcPr>
          <w:p w14:paraId="4218E43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4508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1237F9C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122A091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4ED00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F722276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0B31E750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17F4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ED9FAC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12454B2E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35A1DA6D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0129D95E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6A10D1AD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0053FC98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2F7B9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1B349C61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69899B40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427C8FDE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0E37387E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50C809E7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615C98E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5A4E0E2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08182F7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6019BFF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3066D68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195D5D8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79C41B5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6697BC54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7ACD809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6CE1B6A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28A75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605842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A7C81B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1F195C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709C3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263EC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83A1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B459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68DE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61480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5B3C4DA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BD1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B6365F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B15143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428A16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BD20C8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1D26E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6AB26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50A8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EA8DC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D39CB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C11BCD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CC2B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4B0287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262E76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7CA2DA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3860B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62A42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ED8D1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E02AD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C5F4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2AE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41A0E0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EB82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748C8B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238AE37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377112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9A12F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C16929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205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F67C6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AE71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9D8F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C7EF31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685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788256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694661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A8C3A3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06DF8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EAF2D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9E6E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5F90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EBFD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3D6F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571873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B567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4B0EAE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F77522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92114A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B906D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753AF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0636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5AE04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6A7B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42C9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E1B30A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183E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4BCBBB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E832BC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0D3E9E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643F0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99E18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5277E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2018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46FB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728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5650FD5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A0E4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9294B2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1A5BD4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8D780E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9BC87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4DDA61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0DC3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0ED49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369F2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DBD0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60A81C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7485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929715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10737B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3365DD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DCD367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986CF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0B9B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34B8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D44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D5A5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083717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5DB6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6E8D251A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758B4C5F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6FF91D70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7F04CB73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0783B11A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E7AB19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19F18491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E708B">
    <w:pPr>
      <w:pStyle w:val="28"/>
      <w:jc w:val="center"/>
      <w:rPr>
        <w:rFonts w:hint="eastAsia"/>
      </w:rPr>
    </w:pPr>
  </w:p>
  <w:p w14:paraId="6FC7661A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408B3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0D6C99B9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0B7B4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215952"/>
    <w:rsid w:val="0F4F1941"/>
    <w:rsid w:val="11063C0F"/>
    <w:rsid w:val="11221BE3"/>
    <w:rsid w:val="135A2484"/>
    <w:rsid w:val="14996C24"/>
    <w:rsid w:val="177E70A5"/>
    <w:rsid w:val="1A0F3CE2"/>
    <w:rsid w:val="1A1A4E38"/>
    <w:rsid w:val="1C7672AC"/>
    <w:rsid w:val="1C9867E2"/>
    <w:rsid w:val="1FEF165D"/>
    <w:rsid w:val="204F64FE"/>
    <w:rsid w:val="23422465"/>
    <w:rsid w:val="27071134"/>
    <w:rsid w:val="2970170E"/>
    <w:rsid w:val="2B063E60"/>
    <w:rsid w:val="2B187558"/>
    <w:rsid w:val="2C3B78B9"/>
    <w:rsid w:val="2C960C5A"/>
    <w:rsid w:val="2DF81374"/>
    <w:rsid w:val="2E0F07A7"/>
    <w:rsid w:val="2EE00199"/>
    <w:rsid w:val="302A667C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66A0AA1"/>
    <w:rsid w:val="48C4042F"/>
    <w:rsid w:val="49993875"/>
    <w:rsid w:val="4ACF420E"/>
    <w:rsid w:val="4F676C83"/>
    <w:rsid w:val="50096B82"/>
    <w:rsid w:val="50A20F19"/>
    <w:rsid w:val="56B202D0"/>
    <w:rsid w:val="5BBD6752"/>
    <w:rsid w:val="5D3D2807"/>
    <w:rsid w:val="6731371A"/>
    <w:rsid w:val="6B0326C9"/>
    <w:rsid w:val="6B1314A7"/>
    <w:rsid w:val="6E1F0870"/>
    <w:rsid w:val="740A7989"/>
    <w:rsid w:val="74A31AD3"/>
    <w:rsid w:val="763F7D31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uiPriority w:val="0"/>
  </w:style>
  <w:style w:type="table" w:default="1" w:styleId="41">
    <w:name w:val="Normal Table"/>
    <w:semiHidden/>
    <w:uiPriority w:val="0"/>
    <w:tblPr>
      <w:tblStyle w:val="4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uiPriority w:val="0"/>
    <w:rPr>
      <w:color w:val="993300"/>
      <w:sz w:val="24"/>
    </w:rPr>
  </w:style>
  <w:style w:type="paragraph" w:styleId="11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uiPriority w:val="0"/>
    <w:pPr>
      <w:jc w:val="left"/>
    </w:pPr>
  </w:style>
  <w:style w:type="paragraph" w:styleId="18">
    <w:name w:val="Body Text Indent"/>
    <w:basedOn w:val="1"/>
    <w:link w:val="63"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uiPriority w:val="39"/>
    <w:pPr>
      <w:spacing w:line="240" w:lineRule="auto"/>
    </w:pPr>
  </w:style>
  <w:style w:type="paragraph" w:styleId="31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uiPriority w:val="0"/>
    <w:rPr>
      <w:b/>
      <w:bCs/>
    </w:rPr>
  </w:style>
  <w:style w:type="paragraph" w:styleId="40">
    <w:name w:val="Body Text First Indent 2"/>
    <w:basedOn w:val="18"/>
    <w:link w:val="72"/>
    <w:unhideWhenUsed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Style w:val="4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uiPriority w:val="99"/>
    <w:rPr>
      <w:color w:val="0000FF"/>
      <w:u w:val="single"/>
    </w:rPr>
  </w:style>
  <w:style w:type="character" w:styleId="49">
    <w:name w:val="annotation reference"/>
    <w:semiHidden/>
    <w:uiPriority w:val="0"/>
    <w:rPr>
      <w:sz w:val="21"/>
      <w:szCs w:val="21"/>
    </w:rPr>
  </w:style>
  <w:style w:type="character" w:customStyle="1" w:styleId="50">
    <w:name w:val="正文文本 字符1"/>
    <w:link w:val="3"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aliases w:val="Footer-Even 字符1,Footer First 字符1,Footer1 字符1,页脚，DHCC公司页脚 字符1,FtrF 字符1,Alt+J 字符1,footer odd 字符1,fo 字符1,odd 字符1,footer Final 字符1,f 字符1,footer 字符1,even footer 字符1,feature op 字符1,Odd Footer 字符1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aliases w:val="一 字符1,口 字符1,h5 字符1,标题 3 Char + 小四 字符1,H5 字符1,PIM 5 字符1,Block Label 字符1,dash 字符1,ds 字符1,dd 字符1,heading 5 字符1,h51 字符1,heading 51 字符1,h52 字符1,heading 52 字符1,h53 字符1,heading 53 字符1,Second Subheading 字符1,第四层条 字符1,Level 3 - i 字符1,CSS节内3级标记 字符1,5 字符1"/>
    <w:semiHidden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aliases w:val="2nd level 字符1,h2 字符1,2 字符1,Header 2 字符1,l2 字符1,第*章 字符1,H2 字符1,new 字符1,节标题 1.1 字符1,部分标题 字符1,Heading 2 Hidden 字符1,Heading 2 CCBS 字符1,heading 2 字符1,sect 1.2 字符1,H21 字符1,sect 1.21 字符1,H22 字符1,sect 1.22 字符1,H211 字符1,sect 1.211 字符1,H23 字符1,H21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86">
    <w:name w:val="标题 1 字符1"/>
    <w:aliases w:val="Heading 0 字符1,Section Head 字符1,H1 字符1,Normal + Font: Helvetica 字符1,Bold 字符1,Space Before 12 pt 字符1,Not Bold 字符1,h1 字符1,1st level 字符1,l1 字符1,H11 字符1,H12 字符1,H111 字符1,H13 字符1,H112 字符1,PIM 1 字符1,1 字符1,1. heading 1 字符1,标准章 字符1,Huvudrubrik 字符1,I1 字符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aliases w:val="普通文字 Char 字符,纯文本 Char Char 字符,普通文字 字符,Texte 字符,普通文字1 字符,普通文字2 字符,普通文字3 字符,普通文字4 字符,普通文字5 字符,普通文字6 字符,普通文字11 字符,普通文字21 字符,普通文字31 字符,普通文字41 字符,普通文字7 字符,正 文 1 字符,普通文字 Char Char 字符,纯文本 Char1 Char Char 字符,纯文本 Char Char Char Char 字符,纯文本 Char Char1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aliases w:val="章 字符1,H4 字符1,sect 1.2.3.4 字符1,Ref Heading 1 字符1,rh1 字符1,sect 1.2.3.41 字符1,Ref Heading 11 字符1,rh11 字符1,sect 1.2.3.42 字符1,Ref Heading 12 字符1,rh12 字符1,sect 1.2.3.411 字符1,Ref Heading 111 字符1,rh111 字符1,sect 1.2.3.43 字符1,Ref Heading 13 字符1,rh13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aliases w:val="普通文字 Char 字符1,纯文本 Char Char 字符1,普通文字 字符1,Texte 字符1,普通文字1 字符1,普通文字2 字符1,普通文字3 字符1,普通文字4 字符1,普通文字5 字符1,普通文字6 字符1,普通文字11 字符1,普通文字21 字符1,普通文字31 字符1,普通文字41 字符1,普通文字7 字符1,正 文 1 字符1,普通文字 Char Char 字符1,纯文本 Char1 Char Char 字符1,纯文本 Char Char Char Char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aliases w:val="Footer-Even 字符,Footer First 字符,Footer1 字符,页脚，DHCC公司页脚 字符,FtrF 字符,Alt+J 字符,footer odd 字符,fo 字符,odd 字符,footer Final 字符,f 字符,footer 字符,even footer 字符,feature op 字符,Odd Footer 字符"/>
    <w:semiHidden/>
    <w:locked/>
    <w:uiPriority w:val="99"/>
    <w:rPr>
      <w:kern w:val="2"/>
      <w:sz w:val="18"/>
      <w:szCs w:val="18"/>
    </w:rPr>
  </w:style>
  <w:style w:type="character" w:customStyle="1" w:styleId="93">
    <w:name w:val="标题 3 字符1"/>
    <w:aliases w:val="条标题1.1.1 字符1,Level 3 Head 字符1,H3 字符1,level_3 字符1,PIM 3 字符1,章标题1 字符1,子系统 字符1,Heading 3 - old 字符1,sect1.2.3 字符1,sect1.2.31 字符1,sect1.2.32 字符1,sect1.2.311 字符1,sect1.2.33 字符1,sect1.2.312 字符1,1.1.1 字符1,h3 字符1,3rd level 字符1,3 字符1,l3 字符1,CT 字符1,bh 字符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/>
      <w:lang w:val="en-US" w:eastAsia="zh-Hans" w:bidi="ar-SA"/>
    </w:rPr>
  </w:style>
  <w:style w:type="paragraph" w:customStyle="1" w:styleId="106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Style w:val="41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2787</Words>
  <Characters>2867</Characters>
  <Lines>24</Lines>
  <Paragraphs>6</Paragraphs>
  <TotalTime>3</TotalTime>
  <ScaleCrop>false</ScaleCrop>
  <LinksUpToDate>false</LinksUpToDate>
  <CharactersWithSpaces>3176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大黄。</cp:lastModifiedBy>
  <cp:lastPrinted>2025-02-11T08:59:09Z</cp:lastPrinted>
  <dcterms:modified xsi:type="dcterms:W3CDTF">2025-02-13T06:31:05Z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4FD03CBDC21645FAA9C9F43F12C70A6C_13</vt:lpwstr>
  </property>
</Properties>
</file>