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版本号：ZX2025-07-61.20250829001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委托开展清单编制、上限价计价工作项目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ZX2025-07-61.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委托开展清单编制、上限价计价工作项目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ZX2025-07-61.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委托开展清单编制、上限价计价工作项目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西安邮电大学委托开展清单编制、上限价计价工作项目，共分为2个采购包，具体内容详见磋商文件第三章。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采购包1（长安校区7号学生公寓楼项目清单、计价工作一标段）：属于专门面向中小企业采购。</w:t>
      </w:r>
    </w:p>
    <w:p>
      <w:pPr>
        <w:pStyle w:val="null3"/>
      </w:pPr>
      <w:r>
        <w:rPr>
          <w:rFonts w:ascii="仿宋_GB2312" w:hAnsi="仿宋_GB2312" w:cs="仿宋_GB2312" w:eastAsia="仿宋_GB2312"/>
        </w:rPr>
        <w:t>采购包2（雁塔校区综合实验楼项目清单、计价工作二标段）：属于专门面向中小企业采购。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3、项目负责人：项目负责人需具备一级注册造价工程师资质，且在本单位注册。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3、项目负责人：项目负责人需具备一级注册造价工程师资质，且在本单位注册。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029-88110800转8027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采购包1保证金金额：5,076.10元</w:t>
            </w:r>
          </w:p>
          <w:p>
            <w:pPr>
              <w:pStyle w:val="null3"/>
            </w:pPr>
            <w:r>
              <w:rPr>
                <w:rFonts w:ascii="仿宋_GB2312" w:hAnsi="仿宋_GB2312" w:cs="仿宋_GB2312" w:eastAsia="仿宋_GB2312"/>
              </w:rPr>
              <w:t>采购包2保证金金额：1,076.10元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说明：（一）本项目履约保证金为合同总价款的5%，在合同签订前必须缴纳。形式：成交供应商应当以支票、汇票、本票、保函等非现金形式缴纳； （二）收款账户：成交后由采购人提供； （三）履约保证金的退付：项目验收合格后，履约保证金将退还至成交供应商账户。</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说明：（一）本项目履约保证金为合同总价款的5%，在合同签订前必须缴纳。形式：成交供应商应当以支票、汇票、本票、保函等非现金形式缴纳； （二）收款账户：成交后由采购人提供； （三）履约保证金的退付：项目验收合格后，履约保证金将退还至成交供应商账户。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按照磋商文件、响应文件和合同文本执行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西安邮电大学委托开展清单编制、上限价计价工作项目，共分为2个采购包。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清单编制、上限价计价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75,000.00</w:t>
      </w:r>
    </w:p>
    <w:p>
      <w:pPr>
        <w:pStyle w:val="null3"/>
      </w:pPr>
      <w:r>
        <w:rPr>
          <w:rFonts w:ascii="仿宋_GB2312" w:hAnsi="仿宋_GB2312" w:cs="仿宋_GB2312" w:eastAsia="仿宋_GB2312"/>
        </w:rPr>
        <w:t>采购包最高限价（元）: 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清单编制、上限价计价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标的名称：清单编制、上限价计价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西安邮电大学长安校区西区7号学生公寓楼项目</w:t>
            </w:r>
          </w:p>
          <w:p>
            <w:pPr>
              <w:pStyle w:val="null3"/>
            </w:pPr>
            <w:r>
              <w:rPr>
                <w:rFonts w:ascii="仿宋_GB2312" w:hAnsi="仿宋_GB2312" w:cs="仿宋_GB2312" w:eastAsia="仿宋_GB2312"/>
              </w:rPr>
              <w:t>（一）工作内容：造价咨询工作包括但不限于以下工作内容</w:t>
            </w:r>
          </w:p>
          <w:p>
            <w:pPr>
              <w:pStyle w:val="null3"/>
            </w:pPr>
            <w:r>
              <w:rPr>
                <w:rFonts w:ascii="仿宋_GB2312" w:hAnsi="仿宋_GB2312" w:cs="仿宋_GB2312" w:eastAsia="仿宋_GB2312"/>
              </w:rPr>
              <w:t xml:space="preserve">1.根据设计图纸内容，完成工程量清单及最高投标限价的编制、调整，与学校审计处委托的全过程审计单位核对、调整、定案，并提供配套的造价咨询服务。  </w:t>
            </w:r>
          </w:p>
          <w:p>
            <w:pPr>
              <w:pStyle w:val="null3"/>
            </w:pPr>
            <w:r>
              <w:rPr>
                <w:rFonts w:ascii="仿宋_GB2312" w:hAnsi="仿宋_GB2312" w:cs="仿宋_GB2312" w:eastAsia="仿宋_GB2312"/>
              </w:rPr>
              <w:t>2.提供该项目招标政策、法规、制度专业咨询等服务。施工单位进场后，与施工单位共同完成招标工程量清单中各项工程量的核对、定案。</w:t>
            </w:r>
          </w:p>
          <w:p>
            <w:pPr>
              <w:pStyle w:val="null3"/>
            </w:pPr>
            <w:r>
              <w:rPr>
                <w:rFonts w:ascii="仿宋_GB2312" w:hAnsi="仿宋_GB2312" w:cs="仿宋_GB2312" w:eastAsia="仿宋_GB2312"/>
              </w:rPr>
              <w:t>3.完成施工过程中工程造价的咨询和服务，提供数据分析和决策参考，如工程量月进度审核，签证、变更审核，工程竣工结算审核等涉及工程造价方面的具体工作。</w:t>
            </w:r>
          </w:p>
          <w:p>
            <w:pPr>
              <w:pStyle w:val="null3"/>
            </w:pPr>
            <w:r>
              <w:rPr>
                <w:rFonts w:ascii="仿宋_GB2312" w:hAnsi="仿宋_GB2312" w:cs="仿宋_GB2312" w:eastAsia="仿宋_GB2312"/>
              </w:rPr>
              <w:t>（二）成果要求</w:t>
            </w:r>
          </w:p>
          <w:p>
            <w:pPr>
              <w:pStyle w:val="null3"/>
            </w:pPr>
            <w:r>
              <w:rPr>
                <w:rFonts w:ascii="仿宋_GB2312" w:hAnsi="仿宋_GB2312" w:cs="仿宋_GB2312" w:eastAsia="仿宋_GB2312"/>
              </w:rPr>
              <w:t>1.工程造价咨询成果文件应符合中价协【2012】011号《建设工程造价咨询成果文件质量标准》的要求。</w:t>
            </w:r>
          </w:p>
          <w:p>
            <w:pPr>
              <w:pStyle w:val="null3"/>
            </w:pPr>
            <w:r>
              <w:rPr>
                <w:rFonts w:ascii="仿宋_GB2312" w:hAnsi="仿宋_GB2312" w:cs="仿宋_GB2312" w:eastAsia="仿宋_GB2312"/>
              </w:rPr>
              <w:t>2.工程造价咨询成果文件，纸质版清单及限价一式四份，电子版清单及限价文件两份（其中一份应满足工程建设项目属地管理部门的格式要求），广联达建模文件一份。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标的名称：清单编制、上限价计价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对西安邮电大学雁塔校区综合实验楼项目</w:t>
            </w:r>
          </w:p>
          <w:p>
            <w:pPr>
              <w:pStyle w:val="null3"/>
            </w:pPr>
            <w:r>
              <w:rPr>
                <w:rFonts w:ascii="仿宋_GB2312" w:hAnsi="仿宋_GB2312" w:cs="仿宋_GB2312" w:eastAsia="仿宋_GB2312"/>
              </w:rPr>
              <w:t>（一）工作内容：造价咨询工作包括但不限于以下工作内容</w:t>
            </w:r>
          </w:p>
          <w:p>
            <w:pPr>
              <w:pStyle w:val="null3"/>
            </w:pPr>
            <w:r>
              <w:rPr>
                <w:rFonts w:ascii="仿宋_GB2312" w:hAnsi="仿宋_GB2312" w:cs="仿宋_GB2312" w:eastAsia="仿宋_GB2312"/>
              </w:rPr>
              <w:t xml:space="preserve">1.根据设计图纸内容，完成工程量清单及最高投标限价的编制、调整，与学校审计处委托的全过程审计单位核对、调整、定案，并提供配套的造价咨询服务。  </w:t>
            </w:r>
          </w:p>
          <w:p>
            <w:pPr>
              <w:pStyle w:val="null3"/>
            </w:pPr>
            <w:r>
              <w:rPr>
                <w:rFonts w:ascii="仿宋_GB2312" w:hAnsi="仿宋_GB2312" w:cs="仿宋_GB2312" w:eastAsia="仿宋_GB2312"/>
              </w:rPr>
              <w:t>2.提供该项目招标政策、法规、制度专业咨询等服务。施工单位进场后，与施工单位共同完成招标工程量清单中各项工程量的核对、定案。</w:t>
            </w:r>
          </w:p>
          <w:p>
            <w:pPr>
              <w:pStyle w:val="null3"/>
            </w:pPr>
            <w:r>
              <w:rPr>
                <w:rFonts w:ascii="仿宋_GB2312" w:hAnsi="仿宋_GB2312" w:cs="仿宋_GB2312" w:eastAsia="仿宋_GB2312"/>
              </w:rPr>
              <w:t>3.完成施工过程中工程造价的咨询和服务，提供数据分析和决策参考，如工程量月进度审核，签证、变更审核，工程竣工结算审核等涉及工程造价方面的具体工作。</w:t>
            </w:r>
          </w:p>
          <w:p>
            <w:pPr>
              <w:pStyle w:val="null3"/>
            </w:pPr>
            <w:r>
              <w:rPr>
                <w:rFonts w:ascii="仿宋_GB2312" w:hAnsi="仿宋_GB2312" w:cs="仿宋_GB2312" w:eastAsia="仿宋_GB2312"/>
              </w:rPr>
              <w:t>（二）成果要求</w:t>
            </w:r>
          </w:p>
          <w:p>
            <w:pPr>
              <w:pStyle w:val="null3"/>
            </w:pPr>
            <w:r>
              <w:rPr>
                <w:rFonts w:ascii="仿宋_GB2312" w:hAnsi="仿宋_GB2312" w:cs="仿宋_GB2312" w:eastAsia="仿宋_GB2312"/>
              </w:rPr>
              <w:t>1.工程造价咨询成果文件应符合中价协【2012】011号《建设工程造价咨询成果文件质量标准》的要求。</w:t>
            </w:r>
          </w:p>
          <w:p>
            <w:pPr>
              <w:pStyle w:val="null3"/>
            </w:pPr>
            <w:r>
              <w:rPr>
                <w:rFonts w:ascii="仿宋_GB2312" w:hAnsi="仿宋_GB2312" w:cs="仿宋_GB2312" w:eastAsia="仿宋_GB2312"/>
              </w:rPr>
              <w:t>2.工程造价咨询成果文件，纸质版清单及限价一式四份，电子版清单及限价文件两份（其中一份应满足工程建设项目属地管理部门的格式要求），广联达建模文件一份。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根据国家、省、市关于招投标法律法规要求，满足项目招标关于工程量清单及最高投标限价的编制工作对具体工作人员资格的要求。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根据国家、省、市关于招投标法律法规要求，满足项目招标关于工程量清单及最高投标限价的编制工作对具体工作人员资格的要求。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以满足工作要求为准。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以满足工作要求为准。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报价格为完成编制工程量清单、最高限价并提供相关配套服务等全部咨询工作的所有费用及支出（包括税金等）。工程量清单及最高投标限价的编制应依据相关规范开展工作，且应如实反映施工图纸所涵盖的全部工程量，同时，应结合实际工作经验，对图纸外所可能出现的量价问题，在编制清单时向招标人及时进行提示，以确保工程量清单（上限价）准确，满足招标及后续施工结算的要求。因清单编制工作疏忽如与实际量差（含漏项）超过总量的10%，中标人应向招标人承担合同金额10%的赔偿责任。中标人还应积极配合招标人组织的工程量清单（上限价）审核及项目招标工作，按照陕西省、西安市相关招标要求提交相应编制成果作为项目招标依据。 供应商除完成工程量清单及最高投标限价的编制工作外，还应配合采购人（包括采购人委托的招标代理单位）完成该项目的工程施工（采购）招标工作。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报价格为完成编制工程量清单、最高限价并提供相关配套服务等全部咨询工作的所有费用及支出（包括税金等）。工程量清单及最高投标限价的编制应依据相关规范开展工作，且应如实反映施工图纸所涵盖的全部工程量，同时，应结合实际工作经验，对图纸外所可能出现的量价问题，在编制清单时向招标人及时进行提示，以确保工程量清单（上限价）准确，满足招标及后续施工结算的要求。因清单编制工作疏忽如与实际量差（含漏项）超过总量的10%，中标人应向招标人承担合同金额10%的赔偿责任。中标人还应积极配合招标人组织的工程量清单（上限价）审核及项目招标工作，按照陕西省、西安市相关招标要求提交相应编制成果作为项目招标依据。 供应商除完成工程量清单及最高投标限价的编制工作外，还应配合采购人（包括采购人委托的招标代理单位）完成该项目的工程施工（采购）招标工作。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自招标人下达工程量清单及最高投标限价的编制任务起30日内完成清单及最高投标限价的编制、核对、调整、定案；整个造价服务周期：确定工程造价咨询服务单位后至工程结算报送审计。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自招标人下达工程量清单及最高投标限价的编制任务起30日内完成清单及最高投标限价的编制、核对、调整、定案；整个造价服务周期：确定工程造价咨询服务单位后至工程结算报送审计。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按照磋商文件、响应文件和合同文本执行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完成工程量清单及最高投标限价的编制及调整，与学校审计处委托的全过程审计单位核对、调整、定案，施工招标完成后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剩余咨询费按照主体封顶和结算报送审计两个阶段平均支付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完成工程量清单及最高投标限价的编制及调整，与学校审计处委托的全过程审计单位核对、调整、定案，施工招标完成后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剩余咨询费按照主体封顶和结算报送审计两个阶段平均支付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按照磋商文件、响应文件和合同文本执行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按照磋商文件、响应文件和合同文本执行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供应商须在文件递交截止时间前按照指定账户再次提交。 3.4.2本项目兼投不兼中，供应商可投多个包但最多只能中一个包。评审按照“采购包1、采购包2”顺序进行评审，如供应商已经被推荐为前述包第一成交候选人，可参与后续其他采购包评审，但不再被推荐为成交候选人。 3.4.3本项目支付约定因电子化格式限制。具体表述以此为准：完成工程量清单及最高投标限价的编制及调整，与学校审计处委托的全过程审计单位核对、调整、定案，施工招标完成后支付70%咨询费；剩余咨询费按照主体封顶和结算报送审计两个阶段平均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项目负责人需具备一级注册造价工程师资质，且在本单位注册。</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项目负责人需具备一级注册造价工程师资质，且在本单位注册。</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有下列情形之一的，应在符合性审查时按照无效文件处理： (1)磋商响应文件未按照磋商文件规定要求签署、盖章的；(2)不满足本磋商文件3.3商务要求中“服务期限、服务地点、支付约定”的实质性条款要求的； (3)文件有效期不足的或无有效期的； (4)下浮率报价低于20%；(5)法律、法规和磋商文件规定的其他无效情形。</w:t>
            </w:r>
          </w:p>
        </w:tc>
        <w:tc>
          <w:tcPr>
            <w:tcW w:type="dxa" w:w="1661"/>
          </w:tcPr>
          <w:p>
            <w:pPr>
              <w:pStyle w:val="null3"/>
            </w:pPr>
            <w:r>
              <w:rPr>
                <w:rFonts w:ascii="仿宋_GB2312" w:hAnsi="仿宋_GB2312" w:cs="仿宋_GB2312" w:eastAsia="仿宋_GB2312"/>
              </w:rPr>
              <w:t>响应文件封面 4服务响应偏离表.docx 1商务部分偏离表.docx 3承诺书.docx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有下列情形之一的，应在符合性审查时按照无效文件处理： (1)磋商响应文件未按照磋商文件规定要求签署、盖章的；(2)不满足本磋商文件3.3商务要求中“服务期限、服务地点、支付约定”的实质性条款要求的； (3)文件有效期不足的或无有效期的； (4)下浮率报价低于20%；(5)法律、法规和磋商文件规定的其他无效情形。</w:t>
            </w:r>
          </w:p>
        </w:tc>
        <w:tc>
          <w:tcPr>
            <w:tcW w:type="dxa" w:w="1661"/>
          </w:tcPr>
          <w:p>
            <w:pPr>
              <w:pStyle w:val="null3"/>
            </w:pPr>
            <w:r>
              <w:rPr>
                <w:rFonts w:ascii="仿宋_GB2312" w:hAnsi="仿宋_GB2312" w:cs="仿宋_GB2312" w:eastAsia="仿宋_GB2312"/>
              </w:rPr>
              <w:t>响应文件封面 4服务响应偏离表.docx 1商务部分偏离表.docx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的整体服务方案，内容包括但不限于：①相关法律、法规依据；②服务目标；③对工程量清单、最高投标限价的编制服务及在施工过程中开展工程造价咨询和服务工作的理解；④服务宗旨、内容及原则；⑤工程量清单、最高投标限价的编制工作内容，施工过程中开展工程造价咨询和服务的工作内容；⑥工程量清单、最高投标限价的编制及在施工过程中开展工程造价咨询和服务工作的风险控制；⑦对工程量清单、最高投标限价的编制阶段及在施工过程中开展工程造价咨询和服务工作进行廉政风险分析，并提出廉政风险及廉政风险防范措施；⑧工程量清单、最高投标限价及在施工过程中开展工程造价咨询和服务工作的编制方案。 完全满足项目实施需求，无瑕疵：20分； 方案内容存在1处瑕疵：18分； 方案内容存在2处瑕疵：16分； 方案内容存在3处瑕疵：14分； 方案内容存在4处瑕疵：12分； 方案内容存在5处瑕疵：10分； 方案内容存在6处瑕疵：8分； 方案内容存在7处瑕疵：6分； 方案内容存在8处瑕疵：4分； 方案内容存在9处瑕疵：2分； 未提供或内容存在10处瑕疵及以上瑕疵：0分。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5整体服务方案.docx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供应商提供针对本项目的服务质量保障措施，内容包括但不限于①质量控制制度；②发现并反馈问题的及时性；③误差率保证；④项目保密范围及制度；⑤廉洁从业措施。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6服务质量保障措施.docx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进度保障措施，内容包括但不限于①工作进度安排；②服务期间突发问题反馈机制及时效；③工程量清单及最高投标限价的编制及在施工过程中开展工程造价咨询和服务工作时效控制方案。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7进度保障措施.docx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有专业服务团队，提供团队人员清单并明确岗位职责分工，对人员的职业经历、从业工作经验、职称证书等有详细描述。根据岗位职责划分是否明确，人员配备数量、工作经验及专业能力是否满足项目实施要求进行评审。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8团队人员.docx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供应商针对本项目提供合理化建议，且具有实操性。 完全满足项目实际需求，无瑕疵：10分；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9合理化建议.docx</w:t>
            </w:r>
          </w:p>
        </w:tc>
      </w:tr>
      <w:tr>
        <w:tc>
          <w:tcPr>
            <w:tcW w:type="dxa" w:w="831"/>
            <w:vMerge/>
          </w:tcPr>
          <w:p/>
        </w:tc>
        <w:tc>
          <w:tcPr>
            <w:tcW w:type="dxa" w:w="1661"/>
          </w:tcPr>
          <w:p>
            <w:pPr>
              <w:pStyle w:val="null3"/>
            </w:pPr>
            <w:r>
              <w:rPr>
                <w:rFonts w:ascii="仿宋_GB2312" w:hAnsi="仿宋_GB2312" w:cs="仿宋_GB2312" w:eastAsia="仿宋_GB2312"/>
              </w:rPr>
              <w:t>争议解决能力</w:t>
            </w:r>
          </w:p>
        </w:tc>
        <w:tc>
          <w:tcPr>
            <w:tcW w:type="dxa" w:w="2492"/>
          </w:tcPr>
          <w:p>
            <w:pPr>
              <w:pStyle w:val="null3"/>
            </w:pPr>
            <w:r>
              <w:rPr>
                <w:rFonts w:ascii="仿宋_GB2312" w:hAnsi="仿宋_GB2312" w:cs="仿宋_GB2312" w:eastAsia="仿宋_GB2312"/>
              </w:rPr>
              <w:t>供应商提供近年来解决的工程造价争议（如变更索赔、法律诉讼等）情况，包括处理方案、相关经验、法务人员等情况。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10争议解决能力.docx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除采购人要求的服务外，供应商还能够提供与本项目相关的具有实际使用价值的增值服务。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提供供应商2022年1月1日至今类似项目业绩，每提供一份得1分，满分5分；未提供不得分。 备注：时间以合同的签订日期为准， 以上业绩须提供合同扫描件加盖公章。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（1）业绩：提供供应商拟派项目负责人近三年(2022 年 1 月1 日以后)类似项目业绩，每提供一份得2分，满分4分；未提供不得分。 评审依据：以签订的合同加盖公章的扫描件为准，类似业绩合同需体现项目负责人姓名，时间以合同签订时间为准。注：投标单位业绩和项目负责人业绩可重复使用。 （2）项目负责人具有工程类专业高级职称得2分，中级职称得1分，其余不得分； （3）项目负责人本科及以上学历得1分，专科学历得0.5分，其余不得分。 （4）从事本行业8年以上（含8年）得3分，5-8年得1分（含5年），其余不得分。（以国家注册一级造价师初始注册时间为准）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13拟派项目负责人.docx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价格分统一采用高价优先法计算， 即满足磋商文件要求且投标报价下浮率最高的磋商报价为评标基准价，其价格分为满分。其他供应商的价格分统一按照下列公式计算：价格分= (磋商报价／评标基准价)×报价分值。 注：计算分数时四舍五入取小数点后两位，结算价=按照项目施工招标的最高投标限价为基数计算清单编制及计价费用×（1-下浮率）。（根据《陕西省物价局陕西省住房和城乡建设厅关于我省工程造价咨询服务收费标准有关问题的通知》(陕价行发(2014]88号)文件精神，按照项目施工招标的最高投标限价为基数计算清单编制及计价费用并在此基础上下浮20%作为招标上限价。供应商最少报下浮20%，即下浮率应≥20%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的整体服务方案，内容包括但不限于：①相关法律、法规依据；②服务目标；③对工程量清单、最高投标限价的编制服务及在施工过程中开展工程造价咨询和服务工作的理解；④服务宗旨、内容及原则；⑤工程量清单、最高投标限价的编制工作内容，施工过程中开展工程造价咨询和服务的工作内容；⑥工程量清单、最高投标限价的编制及在施工过程中开展工程造价咨询和服务工作的风险控制；⑦对工程量清单、最高投标限价的编制阶段及在施工过程中开展工程造价咨询和服务工作进行廉政风险分析，并提出廉政风险及廉政风险防范措施；⑧工程量清单、最高投标限价及在施工过程中开展工程造价咨询和服务工作的编制方案。 完全满足采购需求，无瑕疵：20分； 方案内容存在1处瑕疵：18分； 方案内容存在2处瑕疵：16分； 方案内容存在3处瑕疵：14分； 方案内容存在4处瑕疵：12分； 方案内容存在5处瑕疵：10分； 方案内容存在6处瑕疵：8分； 方案内容存在7处瑕疵：6分； 方案内容存在8处瑕疵：4分； 方案内容存在9处瑕疵：2分； 未提供或内容存在10处瑕疵及以上瑕疵：0分。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5整体服务方案.docx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供应商提供针对本项目的服务质量保障措施，内容包括但不限于①质量控制制度；②发现并反馈问题的及时性；③误差率保证；④项目保密范围及制度；⑤廉洁从业措施。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6服务质量保障措施.docx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进度保障措施，内容包括但不限于①工作进度安排；②服务期间突发问题反馈机制及时效；③工程量清单及最高投标限价的编制及在施工过程中开展工程造价咨询和服务工作时效控制方案。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7进度保障措施.docx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有专业服务团队，提供团队人员清单并明确岗位职责分工，对人员的职业经历、从业工作经验、职称证书等有详细描述。根据岗位职责划分是否明确，人员配备数量、工作经验及专业能力是否满足项目实施要求进行评审。 完全满足项目实施需求，无瑕疵：10分；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8团队人员.docx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供应商针对本项目提供合理化建议，且具有实操性。 完全满足项目实际需求，无瑕疵：10分； 内容存在1处瑕疵：8分； 内容存在2处瑕疵：6分； 内容存在3处瑕疵：4分； 内容存在4处瑕疵：2分；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9合理化建议.docx</w:t>
            </w:r>
          </w:p>
        </w:tc>
      </w:tr>
      <w:tr>
        <w:tc>
          <w:tcPr>
            <w:tcW w:type="dxa" w:w="831"/>
            <w:vMerge/>
          </w:tcPr>
          <w:p/>
        </w:tc>
        <w:tc>
          <w:tcPr>
            <w:tcW w:type="dxa" w:w="1661"/>
          </w:tcPr>
          <w:p>
            <w:pPr>
              <w:pStyle w:val="null3"/>
            </w:pPr>
            <w:r>
              <w:rPr>
                <w:rFonts w:ascii="仿宋_GB2312" w:hAnsi="仿宋_GB2312" w:cs="仿宋_GB2312" w:eastAsia="仿宋_GB2312"/>
              </w:rPr>
              <w:t>争议解决能力</w:t>
            </w:r>
          </w:p>
        </w:tc>
        <w:tc>
          <w:tcPr>
            <w:tcW w:type="dxa" w:w="2492"/>
          </w:tcPr>
          <w:p>
            <w:pPr>
              <w:pStyle w:val="null3"/>
            </w:pPr>
            <w:r>
              <w:rPr>
                <w:rFonts w:ascii="仿宋_GB2312" w:hAnsi="仿宋_GB2312" w:cs="仿宋_GB2312" w:eastAsia="仿宋_GB2312"/>
              </w:rPr>
              <w:t>供应商提供近年来解决的工程造价争议（如变更索赔、法律诉讼等）情况，包括处理方案、相关经验、法务人员等情况。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10争议解决能力.docx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除采购人要求的服务外，供应商还能够提供与本项目相关的具有实际使用价值的增值服务。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提供供应商2022年1月1日至今类似项目业绩，每提供一份得1分，满分5分；未提供不得分。 备注：时间以合同的签订日期为准， 以上业绩须提供合同扫描件加盖公章。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（1）业绩：提供供应商拟派项目负责人近三年(2022 年 1 月1 日以后)类似项目业绩，每提供一份得2分，满分4分；未提供不得分。 评审依据：以签订的合同加盖公章的扫描件为准，类似业绩合同需体现项目负责人姓名，时间以合同签订时间为准。注：投标单位业绩和项目负责人业绩可重复使用。 （2）项目负责人具有工程类专业高级职称得2分，中级职称得1分，其余不得分； （3）项目负责人本科及以上学历得1分，专科学历得0.5分，其余不得分。 （4）从事本行业8年以上（含8年）得3分，5-8年得1分（含5年），其余不得分。（以国家注册一级造价师初始注册时间为准）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13拟派项目负责人.docx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价格分统一采用高价优先法计算， 即满足磋商文件要求且投标报价下浮率最高的磋商报价为评标基准价，其价格分为满分。其他供应商的价格分统一按照下列公式计算：价格分= (磋商报价／评标基准价)×报价分值。 注：计算分数时四舍五入取小数点后两位，结算价=按照项目施工招标的最高投标限价为基数计算清单编制及计价费用×（1-下浮率）。（根据《陕西省物价局陕西省住房和城乡建设厅关于我省工程造价咨询服务收费标准有关问题的通知》(陕价行发(2014]88号)文件精神，按照项目施工招标的最高投标限价为基数计算清单编制及计价费用并在此基础上下浮20%作为招标上限价。供应商最少报下浮20%，即下浮率应≥20%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详见附件：4服务响应偏离表.docx</w:t>
      </w:r>
    </w:p>
    <w:p>
      <w:pPr>
        <w:pStyle w:val="null3"/>
        <w:ind w:firstLine="960"/>
      </w:pPr>
      <w:r>
        <w:rPr>
          <w:rFonts w:ascii="仿宋_GB2312" w:hAnsi="仿宋_GB2312" w:cs="仿宋_GB2312" w:eastAsia="仿宋_GB2312"/>
        </w:rPr>
        <w:t>详见附件：5整体服务方案.docx</w:t>
      </w:r>
    </w:p>
    <w:p>
      <w:pPr>
        <w:pStyle w:val="null3"/>
        <w:ind w:firstLine="960"/>
      </w:pPr>
      <w:r>
        <w:rPr>
          <w:rFonts w:ascii="仿宋_GB2312" w:hAnsi="仿宋_GB2312" w:cs="仿宋_GB2312" w:eastAsia="仿宋_GB2312"/>
        </w:rPr>
        <w:t>详见附件：6服务质量保障措施.docx</w:t>
      </w:r>
    </w:p>
    <w:p>
      <w:pPr>
        <w:pStyle w:val="null3"/>
        <w:ind w:firstLine="960"/>
      </w:pPr>
      <w:r>
        <w:rPr>
          <w:rFonts w:ascii="仿宋_GB2312" w:hAnsi="仿宋_GB2312" w:cs="仿宋_GB2312" w:eastAsia="仿宋_GB2312"/>
        </w:rPr>
        <w:t>详见附件：7进度保障措施.docx</w:t>
      </w:r>
    </w:p>
    <w:p>
      <w:pPr>
        <w:pStyle w:val="null3"/>
        <w:ind w:firstLine="960"/>
      </w:pPr>
      <w:r>
        <w:rPr>
          <w:rFonts w:ascii="仿宋_GB2312" w:hAnsi="仿宋_GB2312" w:cs="仿宋_GB2312" w:eastAsia="仿宋_GB2312"/>
        </w:rPr>
        <w:t>详见附件：8团队人员.docx</w:t>
      </w:r>
    </w:p>
    <w:p>
      <w:pPr>
        <w:pStyle w:val="null3"/>
        <w:ind w:firstLine="960"/>
      </w:pPr>
      <w:r>
        <w:rPr>
          <w:rFonts w:ascii="仿宋_GB2312" w:hAnsi="仿宋_GB2312" w:cs="仿宋_GB2312" w:eastAsia="仿宋_GB2312"/>
        </w:rPr>
        <w:t>详见附件：9合理化建议.docx</w:t>
      </w:r>
    </w:p>
    <w:p>
      <w:pPr>
        <w:pStyle w:val="null3"/>
        <w:ind w:firstLine="960"/>
      </w:pPr>
      <w:r>
        <w:rPr>
          <w:rFonts w:ascii="仿宋_GB2312" w:hAnsi="仿宋_GB2312" w:cs="仿宋_GB2312" w:eastAsia="仿宋_GB2312"/>
        </w:rPr>
        <w:t>详见附件：10争议解决能力.docx</w:t>
      </w:r>
    </w:p>
    <w:p>
      <w:pPr>
        <w:pStyle w:val="null3"/>
        <w:ind w:firstLine="960"/>
      </w:pPr>
      <w:r>
        <w:rPr>
          <w:rFonts w:ascii="仿宋_GB2312" w:hAnsi="仿宋_GB2312" w:cs="仿宋_GB2312" w:eastAsia="仿宋_GB2312"/>
        </w:rPr>
        <w:t>详见附件：11增值服务.docx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详见附件：13拟派项目负责人.docx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详见附件：4服务响应偏离表.docx</w:t>
      </w:r>
    </w:p>
    <w:p>
      <w:pPr>
        <w:pStyle w:val="null3"/>
        <w:ind w:firstLine="960"/>
      </w:pPr>
      <w:r>
        <w:rPr>
          <w:rFonts w:ascii="仿宋_GB2312" w:hAnsi="仿宋_GB2312" w:cs="仿宋_GB2312" w:eastAsia="仿宋_GB2312"/>
        </w:rPr>
        <w:t>详见附件：5整体服务方案.docx</w:t>
      </w:r>
    </w:p>
    <w:p>
      <w:pPr>
        <w:pStyle w:val="null3"/>
        <w:ind w:firstLine="960"/>
      </w:pPr>
      <w:r>
        <w:rPr>
          <w:rFonts w:ascii="仿宋_GB2312" w:hAnsi="仿宋_GB2312" w:cs="仿宋_GB2312" w:eastAsia="仿宋_GB2312"/>
        </w:rPr>
        <w:t>详见附件：6服务质量保障措施.docx</w:t>
      </w:r>
    </w:p>
    <w:p>
      <w:pPr>
        <w:pStyle w:val="null3"/>
        <w:ind w:firstLine="960"/>
      </w:pPr>
      <w:r>
        <w:rPr>
          <w:rFonts w:ascii="仿宋_GB2312" w:hAnsi="仿宋_GB2312" w:cs="仿宋_GB2312" w:eastAsia="仿宋_GB2312"/>
        </w:rPr>
        <w:t>详见附件：7进度保障措施.docx</w:t>
      </w:r>
    </w:p>
    <w:p>
      <w:pPr>
        <w:pStyle w:val="null3"/>
        <w:ind w:firstLine="960"/>
      </w:pPr>
      <w:r>
        <w:rPr>
          <w:rFonts w:ascii="仿宋_GB2312" w:hAnsi="仿宋_GB2312" w:cs="仿宋_GB2312" w:eastAsia="仿宋_GB2312"/>
        </w:rPr>
        <w:t>详见附件：8团队人员.docx</w:t>
      </w:r>
    </w:p>
    <w:p>
      <w:pPr>
        <w:pStyle w:val="null3"/>
        <w:ind w:firstLine="960"/>
      </w:pPr>
      <w:r>
        <w:rPr>
          <w:rFonts w:ascii="仿宋_GB2312" w:hAnsi="仿宋_GB2312" w:cs="仿宋_GB2312" w:eastAsia="仿宋_GB2312"/>
        </w:rPr>
        <w:t>详见附件：9合理化建议.docx</w:t>
      </w:r>
    </w:p>
    <w:p>
      <w:pPr>
        <w:pStyle w:val="null3"/>
        <w:ind w:firstLine="960"/>
      </w:pPr>
      <w:r>
        <w:rPr>
          <w:rFonts w:ascii="仿宋_GB2312" w:hAnsi="仿宋_GB2312" w:cs="仿宋_GB2312" w:eastAsia="仿宋_GB2312"/>
        </w:rPr>
        <w:t>详见附件：10争议解决能力.docx</w:t>
      </w:r>
    </w:p>
    <w:p>
      <w:pPr>
        <w:pStyle w:val="null3"/>
        <w:ind w:firstLine="960"/>
      </w:pPr>
      <w:r>
        <w:rPr>
          <w:rFonts w:ascii="仿宋_GB2312" w:hAnsi="仿宋_GB2312" w:cs="仿宋_GB2312" w:eastAsia="仿宋_GB2312"/>
        </w:rPr>
        <w:t>详见附件：11增值服务.docx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详见附件：13拟派项目负责人.docx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