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版本号：GR25-CS-037-1.1B120250803001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2025年公路水运工程试验检测专业技术人员职业资格考试项目(二次)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GR25-CS-037-1.1B1</w:t>
      </w:r>
      <w:r>
        <w:br/>
      </w:r>
      <w:r>
        <w:br/>
      </w:r>
      <w:r>
        <w:br/>
      </w:r>
    </w:p>
    <w:p>
      <w:pPr>
        <w:pStyle w:val="null3"/>
        <w:jc w:val="center"/>
        <w:outlineLvl w:val="2"/>
      </w:pPr>
      <w:r>
        <w:rPr>
          <w:rFonts w:ascii="仿宋_GB2312" w:hAnsi="仿宋_GB2312" w:cs="仿宋_GB2312" w:eastAsia="仿宋_GB2312"/>
          <w:sz w:val="28"/>
          <w:b/>
        </w:rPr>
        <w:t>陕西省交通职业能力建设中心</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陕西省交通职业能力建设中心</w:t>
      </w:r>
      <w:r>
        <w:rPr>
          <w:rFonts w:ascii="仿宋_GB2312" w:hAnsi="仿宋_GB2312" w:cs="仿宋_GB2312" w:eastAsia="仿宋_GB2312"/>
        </w:rPr>
        <w:t>委托，拟对</w:t>
      </w:r>
      <w:r>
        <w:rPr>
          <w:rFonts w:ascii="仿宋_GB2312" w:hAnsi="仿宋_GB2312" w:cs="仿宋_GB2312" w:eastAsia="仿宋_GB2312"/>
        </w:rPr>
        <w:t>2025年公路水运工程试验检测专业技术人员职业资格考试项目(二次)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GR25-CS-037-1.1B1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2025年公路水运工程试验检测专业技术人员职业资格考试项目(二次)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本项目为陕西省交通职业能力建设中心2025年公路水运工程试验检测专业技术人员职业资格考试项目(二次）。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陕西省交通职业能力建设中心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陕西省西安市唐延路6号交通运输厅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代理服务费收费标准：本项目采购代理服务费以采购项目的成交金额作为收费基数，按照国家计委（计价格【2002】1980号）《招标代理服务收费管理暂行办法》规定的服务类收费标准下浮5%收取。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陕西省交通职业能力建设中心</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陕西省交通职业能力建设中心</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陕西省交通职业能力建设中心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本项目为陕西省交通职业能力建设中心2025年公路水运工程试验检测专业技术人员职业资格考试项目。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2025年公路水运工程试验检测专业技术人员职业资格考试项目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标的名称：2025年公路水运工程试验检测专业技术人员职业资格考试项目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本次考试从场地、考务、保密、服务、保障五个方面作出以下要求：</w:t>
            </w:r>
          </w:p>
          <w:p>
            <w:pPr>
              <w:pStyle w:val="null3"/>
            </w:pPr>
            <w:r>
              <w:rPr>
                <w:rFonts w:ascii="仿宋_GB2312" w:hAnsi="仿宋_GB2312" w:cs="仿宋_GB2312" w:eastAsia="仿宋_GB2312"/>
                <w:sz w:val="21"/>
              </w:rPr>
              <w:t>一、场地要求</w:t>
            </w:r>
          </w:p>
          <w:p>
            <w:pPr>
              <w:pStyle w:val="null3"/>
            </w:pPr>
            <w:r>
              <w:rPr>
                <w:rFonts w:ascii="仿宋_GB2312" w:hAnsi="仿宋_GB2312" w:cs="仿宋_GB2312" w:eastAsia="仿宋_GB2312"/>
                <w:sz w:val="21"/>
              </w:rPr>
              <w:t>★（一）考点须在西安市区，只设一个考点，考点周边交通便利；</w:t>
            </w:r>
          </w:p>
          <w:p>
            <w:pPr>
              <w:pStyle w:val="null3"/>
            </w:pPr>
            <w:r>
              <w:rPr>
                <w:rFonts w:ascii="仿宋_GB2312" w:hAnsi="仿宋_GB2312" w:cs="仿宋_GB2312" w:eastAsia="仿宋_GB2312"/>
                <w:sz w:val="21"/>
              </w:rPr>
              <w:t>★</w:t>
            </w:r>
            <w:r>
              <w:rPr>
                <w:rFonts w:ascii="仿宋_GB2312" w:hAnsi="仿宋_GB2312" w:cs="仿宋_GB2312" w:eastAsia="仿宋_GB2312"/>
                <w:sz w:val="21"/>
              </w:rPr>
              <w:t>（二）考点单场须满足200个考场以上，2天4场考试累计600个考场左右，每个考场的标准应试人数为30人；</w:t>
            </w:r>
          </w:p>
          <w:p>
            <w:pPr>
              <w:pStyle w:val="null3"/>
            </w:pPr>
            <w:r>
              <w:rPr>
                <w:rFonts w:ascii="仿宋_GB2312" w:hAnsi="仿宋_GB2312" w:cs="仿宋_GB2312" w:eastAsia="仿宋_GB2312"/>
                <w:sz w:val="21"/>
              </w:rPr>
              <w:t>（三）考场须满足安全、安静、通风、光线明亮、可计时，同排考生座位须间隔0.8m以上安全距离，考场内除必备物品、文字外，不得有其他与考试内容有关的物品和字迹；</w:t>
            </w:r>
          </w:p>
          <w:p>
            <w:pPr>
              <w:pStyle w:val="null3"/>
            </w:pPr>
            <w:r>
              <w:rPr>
                <w:rFonts w:ascii="仿宋_GB2312" w:hAnsi="仿宋_GB2312" w:cs="仿宋_GB2312" w:eastAsia="仿宋_GB2312"/>
                <w:sz w:val="21"/>
              </w:rPr>
              <w:t>（四）考场须具备视频监控、应急指挥、作弊防控、身份认证等设施设备；</w:t>
            </w:r>
          </w:p>
          <w:p>
            <w:pPr>
              <w:pStyle w:val="null3"/>
            </w:pPr>
            <w:r>
              <w:rPr>
                <w:rFonts w:ascii="仿宋_GB2312" w:hAnsi="仿宋_GB2312" w:cs="仿宋_GB2312" w:eastAsia="仿宋_GB2312"/>
                <w:sz w:val="21"/>
              </w:rPr>
              <w:t>（五）考点须具备必要的通讯和自动化办公设备。</w:t>
            </w:r>
          </w:p>
          <w:p>
            <w:pPr>
              <w:pStyle w:val="null3"/>
            </w:pPr>
            <w:r>
              <w:rPr>
                <w:rFonts w:ascii="仿宋_GB2312" w:hAnsi="仿宋_GB2312" w:cs="仿宋_GB2312" w:eastAsia="仿宋_GB2312"/>
                <w:sz w:val="21"/>
              </w:rPr>
              <w:t>二、考务要求</w:t>
            </w:r>
          </w:p>
          <w:p>
            <w:pPr>
              <w:pStyle w:val="null3"/>
            </w:pPr>
            <w:r>
              <w:rPr>
                <w:rFonts w:ascii="仿宋_GB2312" w:hAnsi="仿宋_GB2312" w:cs="仿宋_GB2312" w:eastAsia="仿宋_GB2312"/>
                <w:sz w:val="21"/>
              </w:rPr>
              <w:t>（一）考试须配备充足的监考、巡考等考务工作人员；</w:t>
            </w:r>
          </w:p>
          <w:p>
            <w:pPr>
              <w:pStyle w:val="null3"/>
            </w:pPr>
            <w:r>
              <w:rPr>
                <w:rFonts w:ascii="仿宋_GB2312" w:hAnsi="仿宋_GB2312" w:cs="仿宋_GB2312" w:eastAsia="仿宋_GB2312"/>
                <w:sz w:val="21"/>
              </w:rPr>
              <w:t>★</w:t>
            </w:r>
            <w:r>
              <w:rPr>
                <w:rFonts w:ascii="仿宋_GB2312" w:hAnsi="仿宋_GB2312" w:cs="仿宋_GB2312" w:eastAsia="仿宋_GB2312"/>
                <w:sz w:val="21"/>
              </w:rPr>
              <w:t>（二）每个考场配备2名监考人员，监考人员须坚定拥护党的路线方针政策，作风正派，遵纪守法，廉洁自律，原则性强；</w:t>
            </w:r>
          </w:p>
          <w:p>
            <w:pPr>
              <w:pStyle w:val="null3"/>
            </w:pPr>
            <w:r>
              <w:rPr>
                <w:rFonts w:ascii="仿宋_GB2312" w:hAnsi="仿宋_GB2312" w:cs="仿宋_GB2312" w:eastAsia="仿宋_GB2312"/>
                <w:sz w:val="21"/>
              </w:rPr>
              <w:t>★</w:t>
            </w:r>
            <w:r>
              <w:rPr>
                <w:rFonts w:ascii="仿宋_GB2312" w:hAnsi="仿宋_GB2312" w:cs="仿宋_GB2312" w:eastAsia="仿宋_GB2312"/>
                <w:sz w:val="21"/>
              </w:rPr>
              <w:t>（三）原则上每5个考场须配备1名巡考人员，巡考人员须坚定拥护党的路线方针政策，作风正派，遵纪守法，廉洁自律，原则性强，具备组织协调能力、沟通能力和应急处置能力；</w:t>
            </w:r>
          </w:p>
          <w:p>
            <w:pPr>
              <w:pStyle w:val="null3"/>
            </w:pPr>
            <w:r>
              <w:rPr>
                <w:rFonts w:ascii="仿宋_GB2312" w:hAnsi="仿宋_GB2312" w:cs="仿宋_GB2312" w:eastAsia="仿宋_GB2312"/>
                <w:sz w:val="21"/>
              </w:rPr>
              <w:t>（四）供应商须对上述（一）～（三）条考务要求作出书面承诺。</w:t>
            </w:r>
          </w:p>
          <w:p>
            <w:pPr>
              <w:pStyle w:val="null3"/>
            </w:pPr>
            <w:r>
              <w:rPr>
                <w:rFonts w:ascii="仿宋_GB2312" w:hAnsi="仿宋_GB2312" w:cs="仿宋_GB2312" w:eastAsia="仿宋_GB2312"/>
                <w:sz w:val="21"/>
              </w:rPr>
              <w:t>三、保密要求</w:t>
            </w:r>
          </w:p>
          <w:p>
            <w:pPr>
              <w:pStyle w:val="null3"/>
            </w:pPr>
            <w:r>
              <w:rPr>
                <w:rFonts w:ascii="仿宋_GB2312" w:hAnsi="仿宋_GB2312" w:cs="仿宋_GB2312" w:eastAsia="仿宋_GB2312"/>
                <w:sz w:val="21"/>
              </w:rPr>
              <w:t>（一）考点须针对本次考试制定健全的、可操作性强的保密制度；</w:t>
            </w:r>
          </w:p>
          <w:p>
            <w:pPr>
              <w:pStyle w:val="null3"/>
            </w:pPr>
            <w:r>
              <w:br/>
            </w:r>
            <w:r>
              <w:rPr>
                <w:rFonts w:ascii="仿宋_GB2312" w:hAnsi="仿宋_GB2312" w:cs="仿宋_GB2312" w:eastAsia="仿宋_GB2312"/>
                <w:sz w:val="21"/>
              </w:rPr>
              <w:t xml:space="preserve"> （二）考点须具有接收、存放试卷等保密文件的保密室；</w:t>
            </w:r>
          </w:p>
          <w:p>
            <w:pPr>
              <w:pStyle w:val="null3"/>
            </w:pPr>
            <w:r>
              <w:rPr>
                <w:rFonts w:ascii="仿宋_GB2312" w:hAnsi="仿宋_GB2312" w:cs="仿宋_GB2312" w:eastAsia="仿宋_GB2312"/>
                <w:sz w:val="21"/>
              </w:rPr>
              <w:t>（三）保密室实行24小时值班制度，配备工作人员做好看管试卷工作，相关涉密人员须签署保密承诺书；</w:t>
            </w:r>
          </w:p>
          <w:p>
            <w:pPr>
              <w:pStyle w:val="null3"/>
            </w:pPr>
            <w:r>
              <w:rPr>
                <w:rFonts w:ascii="仿宋_GB2312" w:hAnsi="仿宋_GB2312" w:cs="仿宋_GB2312" w:eastAsia="仿宋_GB2312"/>
                <w:sz w:val="21"/>
              </w:rPr>
              <w:t>（四）试卷由保密室运送至考务办公室时，须配备专人专车运送。</w:t>
            </w:r>
          </w:p>
          <w:p>
            <w:pPr>
              <w:pStyle w:val="null3"/>
            </w:pPr>
            <w:r>
              <w:rPr>
                <w:rFonts w:ascii="仿宋_GB2312" w:hAnsi="仿宋_GB2312" w:cs="仿宋_GB2312" w:eastAsia="仿宋_GB2312"/>
                <w:sz w:val="21"/>
              </w:rPr>
              <w:t>四、服务要求</w:t>
            </w:r>
          </w:p>
          <w:p>
            <w:pPr>
              <w:pStyle w:val="null3"/>
            </w:pPr>
            <w:r>
              <w:rPr>
                <w:rFonts w:ascii="仿宋_GB2312" w:hAnsi="仿宋_GB2312" w:cs="仿宋_GB2312" w:eastAsia="仿宋_GB2312"/>
                <w:sz w:val="21"/>
              </w:rPr>
              <w:t>（一）考点工作人员组织架构、岗位职责明确，每场考试配有系统性的线上、线下培训及考核；</w:t>
            </w:r>
          </w:p>
          <w:p>
            <w:pPr>
              <w:pStyle w:val="null3"/>
            </w:pPr>
            <w:r>
              <w:rPr>
                <w:rFonts w:ascii="仿宋_GB2312" w:hAnsi="仿宋_GB2312" w:cs="仿宋_GB2312" w:eastAsia="仿宋_GB2312"/>
                <w:sz w:val="21"/>
              </w:rPr>
              <w:t>（二）考点入口处应有考点、考场名称的显著标识，张贴考场位置示意图、考试时间表、考场规则等，考场门口应张贴考场号码、考试科目等；</w:t>
            </w:r>
          </w:p>
          <w:p>
            <w:pPr>
              <w:pStyle w:val="null3"/>
            </w:pPr>
            <w:r>
              <w:rPr>
                <w:rFonts w:ascii="仿宋_GB2312" w:hAnsi="仿宋_GB2312" w:cs="仿宋_GB2312" w:eastAsia="仿宋_GB2312"/>
                <w:sz w:val="21"/>
              </w:rPr>
              <w:t>（三）考试期间考场周围应划出考试区域，并设置明显的警戒线，禁止无关人员入内。</w:t>
            </w:r>
          </w:p>
          <w:p>
            <w:pPr>
              <w:pStyle w:val="null3"/>
            </w:pPr>
            <w:r>
              <w:rPr>
                <w:rFonts w:ascii="仿宋_GB2312" w:hAnsi="仿宋_GB2312" w:cs="仿宋_GB2312" w:eastAsia="仿宋_GB2312"/>
                <w:sz w:val="21"/>
              </w:rPr>
              <w:t>五、保障要求</w:t>
            </w:r>
          </w:p>
          <w:p>
            <w:pPr>
              <w:pStyle w:val="null3"/>
            </w:pPr>
            <w:r>
              <w:rPr>
                <w:rFonts w:ascii="仿宋_GB2312" w:hAnsi="仿宋_GB2312" w:cs="仿宋_GB2312" w:eastAsia="仿宋_GB2312"/>
                <w:sz w:val="21"/>
              </w:rPr>
              <w:t>（一）考点设有饮水、餐饮、医疗、物品寄存等人性化服务设施；</w:t>
            </w:r>
          </w:p>
          <w:p>
            <w:pPr>
              <w:pStyle w:val="null3"/>
            </w:pPr>
            <w:r>
              <w:rPr>
                <w:rFonts w:ascii="仿宋_GB2312" w:hAnsi="仿宋_GB2312" w:cs="仿宋_GB2312" w:eastAsia="仿宋_GB2312"/>
                <w:sz w:val="21"/>
              </w:rPr>
              <w:t xml:space="preserve">（二）考点须制定应急预案，并协调考点所在辖区公安、电力、医疗等部门，以妥善应对各类突发事件； </w:t>
            </w:r>
          </w:p>
          <w:p>
            <w:pPr>
              <w:pStyle w:val="null3"/>
            </w:pPr>
            <w:r>
              <w:rPr>
                <w:rFonts w:ascii="仿宋_GB2312" w:hAnsi="仿宋_GB2312" w:cs="仿宋_GB2312" w:eastAsia="仿宋_GB2312"/>
                <w:sz w:val="21"/>
              </w:rPr>
              <w:t>（三）考点须配备相应技术保障人员。</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10月25-10月26日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服务结束后达到付款条件后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技术偏离表.docx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供应商根据本项目特点，提供适用于本项目的服务方案，包括但不限于：①考点服务方案②考场服务方案③保密室服务方案④考务管理办公室服务方案等。 1.服务方案内容全面，切合实际，合规性、可行性和针对性强，能完全满足项目要求的每一项得（8-10]分； 2.服务方案内容全面，基本切合实际，合规性、可行性和针对性强，能满足项目要求的每一项得（6-8]分； 3.服务方案基本内容全面，基本切合实际，合规性、可行性和针对性较强，基本能满足项目要求的每一项得（4-6]分； 4.服务方案内容基本全面，基本切合实际，合规性、可行性和针对性弱，基本能满足项目要求的每一项得（2-4]分； 5.服务方案内容不全面，不切合实际，合规性、可行性和针对性较弱，不满足项目要求的每一项得（0-2]分。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针对本项目拟投入人员配备方案： 1.团队拟配备人员架构齐全、数量充足、专业经验丰富，配备方案合理高效，逻辑结构清晰且具有针对性的，得（16-20]分； 2.团队拟配备人员架构基本齐全、数量充足、专业经验丰富，配备方案明确且具有一定合理性，逻辑结构基本清晰且具有一定针对性的，得（12-16]分； 3.团队拟配备人员架构明确、数量基本充足、专业经验一般，配备方案明确，逻辑结构基本清晰但针对性不足的，得（8-12]分； 4.团队拟配备人员架构明确、数量不足、专业经验一般，配备方案含糊，逻辑结构不清晰且针对性不足的，得（4-8]分； 5.团队拟配备人员架构不明确、数量不足、专业较差，配备方案不合理，没有针对性的得[0-4]分。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供应商根据本项目工作特点、考场变动情况、考生身体突发情况等提供完善的应急保障措施。 1.应急保障措施内容全面，切合实际，合规性、可行性和针对性强，能完全满足项目要求的得（8-10]分； 2.应急保障措施内容全面，基本切合实际，合规性、可行性和针对性强，能满足项目要求的得（6-8]分； 3.应急保障措施基本内容全面，基本切合实际，合规性、可行性和针对性较强，基本能满足项目要求的得（4-6]分； 4.应急保障措施内容基本全面，基本切合实际，合规性、可行性和针对性弱，基本能满足项目要求的得（2-4]分； 5.应急保障措施内容不全面，不切合实际，合规性、可行性和针对性较弱，有欠缺，不满足项目要求的得[0-2]分。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1、提供自有场地证明得5分； 2、近三年获得过市级及以上优秀考点荣誉的得5分。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供应商提供2022年1月1日至今类似业绩，以合同扫描件加盖公章为准。每提供1份得2分，最多5份，未提供得0分。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满足磋商文件要求且最终磋商报价最低的报价为评标基准价，其价格分为满分。其他供应商的价格分统一按照下列公式计算：最终报价得分=(评标基准价/最终报价)×价格分值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