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版本号：ZBZB-2025-268320250803001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赴希腊、土耳其开展经贸促进活动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ZBZB-2025-2683</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赴希腊、土耳其开展经贸促进活动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赴希腊、土耳其开展经贸促进活动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按照赴希腊、土耳其开展经贸促进活动相关要求，在规定条件下完成服务。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采购包1（赴希腊、土耳其开展经贸促进活动）：属于专门面向小微企业采购。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涂老师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采购包1保证金金额：4,800.00元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银行账号：15000090623214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缴交渠道： 开户名称：陕西正邦招标有限责任公司 开户银行：平安银行西安分行营业部 银行账号：15000090623214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赴希腊、土耳其开展经贸促进活动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经贸促进会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标的名称：经贸促进会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0"/>
              </w:rPr>
              <w:t>一、项目概况</w:t>
            </w:r>
          </w:p>
          <w:p>
            <w:pPr>
              <w:pStyle w:val="null3"/>
              <w:ind w:firstLine="400"/>
            </w:pPr>
            <w:r>
              <w:rPr>
                <w:rFonts w:ascii="仿宋_GB2312" w:hAnsi="仿宋_GB2312" w:cs="仿宋_GB2312" w:eastAsia="仿宋_GB2312"/>
                <w:sz w:val="20"/>
              </w:rPr>
              <w:t>组织陕西省经贸代表团拟于2025年9月赴希腊和土耳其开展经贸促进活动，在外停留7天（含路途）。</w:t>
            </w:r>
          </w:p>
          <w:p>
            <w:pPr>
              <w:pStyle w:val="null3"/>
            </w:pPr>
            <w:r>
              <w:rPr>
                <w:rFonts w:ascii="仿宋_GB2312" w:hAnsi="仿宋_GB2312" w:cs="仿宋_GB2312" w:eastAsia="仿宋_GB2312"/>
                <w:sz w:val="20"/>
              </w:rPr>
              <w:t>二、委托工作内容</w:t>
            </w:r>
          </w:p>
          <w:p>
            <w:pPr>
              <w:pStyle w:val="null3"/>
            </w:pPr>
            <w:r>
              <w:rPr>
                <w:rFonts w:ascii="仿宋_GB2312" w:hAnsi="仿宋_GB2312" w:cs="仿宋_GB2312" w:eastAsia="仿宋_GB2312"/>
                <w:sz w:val="20"/>
              </w:rPr>
              <w:t>（一）服务要求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负责经贸团境外有关公务活动的对接安排；</w:t>
            </w:r>
          </w:p>
          <w:p>
            <w:pPr>
              <w:pStyle w:val="null3"/>
            </w:pPr>
            <w:r>
              <w:rPr>
                <w:rFonts w:ascii="仿宋_GB2312" w:hAnsi="仿宋_GB2312" w:cs="仿宋_GB2312" w:eastAsia="仿宋_GB2312"/>
                <w:sz w:val="20"/>
              </w:rPr>
              <w:t>2.</w:t>
            </w:r>
            <w:r>
              <w:rPr>
                <w:rFonts w:ascii="仿宋_GB2312" w:hAnsi="仿宋_GB2312" w:cs="仿宋_GB2312" w:eastAsia="仿宋_GB2312"/>
                <w:sz w:val="20"/>
              </w:rPr>
              <w:t>负责经贸代表团在境外的食宿及交通安排；</w:t>
            </w:r>
          </w:p>
          <w:p>
            <w:pPr>
              <w:pStyle w:val="null3"/>
            </w:pPr>
            <w:r>
              <w:rPr>
                <w:rFonts w:ascii="仿宋_GB2312" w:hAnsi="仿宋_GB2312" w:cs="仿宋_GB2312" w:eastAsia="仿宋_GB2312"/>
                <w:sz w:val="20"/>
              </w:rPr>
              <w:t>3.</w:t>
            </w:r>
            <w:r>
              <w:rPr>
                <w:rFonts w:ascii="仿宋_GB2312" w:hAnsi="仿宋_GB2312" w:cs="仿宋_GB2312" w:eastAsia="仿宋_GB2312"/>
                <w:sz w:val="20"/>
              </w:rPr>
              <w:t>负责组织随团出访民营企业人员护照及签证办理；</w:t>
            </w:r>
          </w:p>
          <w:p>
            <w:pPr>
              <w:pStyle w:val="null3"/>
            </w:pPr>
            <w:r>
              <w:rPr>
                <w:rFonts w:ascii="仿宋_GB2312" w:hAnsi="仿宋_GB2312" w:cs="仿宋_GB2312" w:eastAsia="仿宋_GB2312"/>
                <w:sz w:val="20"/>
              </w:rPr>
              <w:t>4.</w:t>
            </w:r>
            <w:r>
              <w:rPr>
                <w:rFonts w:ascii="仿宋_GB2312" w:hAnsi="仿宋_GB2312" w:cs="仿宋_GB2312" w:eastAsia="仿宋_GB2312"/>
                <w:sz w:val="20"/>
              </w:rPr>
              <w:t>负责出访期间举办2场会议的会务服务保障工作：</w:t>
            </w:r>
          </w:p>
          <w:p>
            <w:pPr>
              <w:pStyle w:val="null3"/>
            </w:pPr>
            <w:r>
              <w:rPr>
                <w:rFonts w:ascii="仿宋_GB2312" w:hAnsi="仿宋_GB2312" w:cs="仿宋_GB2312" w:eastAsia="仿宋_GB2312"/>
                <w:sz w:val="20"/>
              </w:rPr>
              <w:t>（1）中国（陕西）-希腊（雅典）经贸合作交流会</w:t>
            </w:r>
          </w:p>
          <w:p>
            <w:pPr>
              <w:pStyle w:val="null3"/>
            </w:pPr>
            <w:r>
              <w:rPr>
                <w:rFonts w:ascii="仿宋_GB2312" w:hAnsi="仿宋_GB2312" w:cs="仿宋_GB2312" w:eastAsia="仿宋_GB2312"/>
                <w:sz w:val="20"/>
              </w:rPr>
              <w:t>（2）中国（陕西）-土耳其（伊斯坦布尔）经贸合作交流会</w:t>
            </w:r>
          </w:p>
          <w:p>
            <w:pPr>
              <w:pStyle w:val="null3"/>
            </w:pPr>
            <w:r>
              <w:rPr>
                <w:rFonts w:ascii="仿宋_GB2312" w:hAnsi="仿宋_GB2312" w:cs="仿宋_GB2312" w:eastAsia="仿宋_GB2312"/>
                <w:sz w:val="20"/>
              </w:rPr>
              <w:t>5.</w:t>
            </w:r>
            <w:r>
              <w:rPr>
                <w:rFonts w:ascii="仿宋_GB2312" w:hAnsi="仿宋_GB2312" w:cs="仿宋_GB2312" w:eastAsia="仿宋_GB2312"/>
                <w:sz w:val="20"/>
              </w:rPr>
              <w:t>结合实际配合做好其他出访服务保障工作。</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合同履行结束并验收合格后一次性付清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解决办法：1．在执行本合同中发生的或与本合同有关的争端，双方应通过友好协商解决，经协商在10天内不能达成协议时，则采取方式解决争议：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1.供应商缴纳保证金时请备注：2683保证金。 2.（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w:t>
            </w:r>
          </w:p>
        </w:tc>
        <w:tc>
          <w:tcPr>
            <w:tcW w:type="dxa" w:w="3322"/>
          </w:tcPr>
          <w:p>
            <w:pPr>
              <w:pStyle w:val="null3"/>
            </w:pPr>
            <w:r>
              <w:rPr>
                <w:rFonts w:ascii="仿宋_GB2312" w:hAnsi="仿宋_GB2312" w:cs="仿宋_GB2312" w:eastAsia="仿宋_GB2312"/>
              </w:rPr>
              <w:t>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w:t>
            </w:r>
          </w:p>
        </w:tc>
        <w:tc>
          <w:tcPr>
            <w:tcW w:type="dxa" w:w="3322"/>
          </w:tcPr>
          <w:p>
            <w:pPr>
              <w:pStyle w:val="null3"/>
            </w:pPr>
            <w:r>
              <w:rPr>
                <w:rFonts w:ascii="仿宋_GB2312" w:hAnsi="仿宋_GB2312" w:cs="仿宋_GB2312" w:eastAsia="仿宋_GB2312"/>
              </w:rPr>
              <w:t>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针对本项目服务要求编制，结合项目实际情况，对供应商服务方案的完善程度及合理性进行赋分。方案合理、完善的赋8.1-12分，方案较为合理、完善赋 4.1-8分，方案较差、措施一般赋0-4分。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工作进度计划及服务质量保障措施</w:t>
            </w:r>
          </w:p>
        </w:tc>
        <w:tc>
          <w:tcPr>
            <w:tcW w:type="dxa" w:w="2492"/>
          </w:tcPr>
          <w:p>
            <w:pPr>
              <w:pStyle w:val="null3"/>
            </w:pPr>
            <w:r>
              <w:rPr>
                <w:rFonts w:ascii="仿宋_GB2312" w:hAnsi="仿宋_GB2312" w:cs="仿宋_GB2312" w:eastAsia="仿宋_GB2312"/>
              </w:rPr>
              <w:t>工作进度计划合理、有可操作性，有详细的服务质量保障措施,在采购人规定的时间内高质量完成服务。措施方案合理、完善的赋 8.1-12 分，措施方案较为合理、完善赋 4.1-8 分，措施方案较差、一般赋 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突发事件及紧急情况处理措施方案</w:t>
            </w:r>
          </w:p>
        </w:tc>
        <w:tc>
          <w:tcPr>
            <w:tcW w:type="dxa" w:w="2492"/>
          </w:tcPr>
          <w:p>
            <w:pPr>
              <w:pStyle w:val="null3"/>
            </w:pPr>
            <w:r>
              <w:rPr>
                <w:rFonts w:ascii="仿宋_GB2312" w:hAnsi="仿宋_GB2312" w:cs="仿宋_GB2312" w:eastAsia="仿宋_GB2312"/>
              </w:rPr>
              <w:t>方案细致完整、可行、描述条理清晰，内容齐全，有较高的针对性赋 3.1-5分，方案较完整，针对性一般赋1.1-3分，方案含糊，针对性较差赋 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提供本项目设施设备等确保活动顺利实施。设备齐全能够全面满足得 6分；设备基本满足得4分；设备简单得2分，未提供设备不计分。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保证活动顺利进行的安全方案。方案完善、合理、可行，得 5.1-8 分；方案基本合理、可行，得 2.1-5 分；方案内容简单，基本满足项目需求，得0-2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有详细的人员配置方案，服务人员要具备专业知识和技能、良好的道德素养，至少6人，得6分，每增加一位人员得1分，最高计10分。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 如设备或系统发生故障，在10分钟内响应，2小时内到达现场解决问题，附本项目售后人员联系方式。（包括但不限于服务人员配备、响应时间、响应程度、解决问题能力、紧急故障处理预案等）进行综合评价。售后服务方案齐全合理、可操作性强；7.1-10 分； 售后服务方案基本满足项目需求；3.1-7 分； 售后服务方案不完整或合理性低 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供应商须确保项目能按时、按质完成，提供服务承诺；且有具体的技术服务保障措施、服务能力方案；方案完善、合理、可行计8.1-12分，提供方案内容基本完善、可行计 4.1-8分，提供方案内容欠缺，可行性差计 0-4分，未提供不计分。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供应商提供（2022年7月至今）类似项目业绩，每提供 1 个得3分，最高得15分；业绩证明（以合同或中标通知书为准，须在文件中附合同的扫描件加盖单位公章。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