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7B813B">
      <w:pPr>
        <w:widowControl w:val="0"/>
        <w:topLinePunct/>
        <w:adjustRightInd w:val="0"/>
        <w:snapToGrid w:val="0"/>
        <w:spacing w:line="339" w:lineRule="auto"/>
        <w:jc w:val="center"/>
        <w:rPr>
          <w:rFonts w:ascii="方正小标宋简体" w:hAnsi="方正小标宋简体" w:eastAsia="方正小标宋简体" w:cs="方正小标宋简体"/>
          <w:sz w:val="40"/>
          <w:szCs w:val="40"/>
          <w:highlight w:val="none"/>
        </w:rPr>
      </w:pPr>
    </w:p>
    <w:p w14:paraId="732257D0">
      <w:pPr>
        <w:widowControl w:val="0"/>
        <w:topLinePunct/>
        <w:adjustRightInd w:val="0"/>
        <w:snapToGrid w:val="0"/>
        <w:spacing w:line="339" w:lineRule="auto"/>
        <w:jc w:val="center"/>
        <w:rPr>
          <w:rFonts w:ascii="方正小标宋简体" w:hAnsi="方正小标宋简体" w:eastAsia="方正小标宋简体" w:cs="方正小标宋简体"/>
          <w:sz w:val="40"/>
          <w:szCs w:val="40"/>
          <w:highlight w:val="none"/>
        </w:rPr>
      </w:pPr>
    </w:p>
    <w:p w14:paraId="6E012AF9">
      <w:pPr>
        <w:widowControl w:val="0"/>
        <w:topLinePunct/>
        <w:adjustRightInd w:val="0"/>
        <w:snapToGrid w:val="0"/>
        <w:spacing w:line="339" w:lineRule="auto"/>
        <w:jc w:val="center"/>
        <w:rPr>
          <w:rFonts w:ascii="方正小标宋简体" w:hAnsi="方正小标宋简体" w:eastAsia="方正小标宋简体" w:cs="方正小标宋简体"/>
          <w:sz w:val="52"/>
          <w:szCs w:val="5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highlight w:val="none"/>
        </w:rPr>
        <w:t>工作方案及说明</w:t>
      </w:r>
    </w:p>
    <w:p w14:paraId="75197A52">
      <w:pPr>
        <w:widowControl w:val="0"/>
        <w:tabs>
          <w:tab w:val="left" w:pos="3271"/>
          <w:tab w:val="center" w:pos="4482"/>
        </w:tabs>
        <w:topLinePunct/>
        <w:adjustRightInd w:val="0"/>
        <w:snapToGrid w:val="0"/>
        <w:spacing w:line="339" w:lineRule="auto"/>
        <w:jc w:val="center"/>
        <w:rPr>
          <w:rFonts w:ascii="方正小标宋简体" w:hAnsi="方正小标宋简体" w:eastAsia="方正小标宋简体" w:cs="方正小标宋简体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highlight w:val="none"/>
        </w:rPr>
        <w:t>（发行）</w:t>
      </w:r>
      <w:bookmarkStart w:id="45" w:name="_GoBack"/>
      <w:bookmarkEnd w:id="45"/>
    </w:p>
    <w:p w14:paraId="1E841667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</w:p>
    <w:p w14:paraId="4D05D576">
      <w:pPr>
        <w:pStyle w:val="2"/>
        <w:rPr>
          <w:rFonts w:ascii="Times New Roman" w:hAnsi="Times New Roman" w:eastAsia="仿宋_GB2312" w:cs="Times New Roman"/>
          <w:sz w:val="32"/>
          <w:szCs w:val="32"/>
          <w:highlight w:val="none"/>
        </w:rPr>
      </w:pPr>
    </w:p>
    <w:p w14:paraId="1E8B4C07">
      <w:pPr>
        <w:rPr>
          <w:rFonts w:ascii="Times New Roman" w:hAnsi="Times New Roman" w:eastAsia="仿宋_GB2312" w:cs="Times New Roman"/>
          <w:sz w:val="32"/>
          <w:szCs w:val="32"/>
          <w:highlight w:val="none"/>
        </w:rPr>
      </w:pPr>
    </w:p>
    <w:p w14:paraId="3470E3F0">
      <w:pPr>
        <w:pStyle w:val="2"/>
        <w:rPr>
          <w:highlight w:val="none"/>
        </w:rPr>
      </w:pPr>
    </w:p>
    <w:p w14:paraId="7FCB4315">
      <w:pPr>
        <w:widowControl w:val="0"/>
        <w:topLinePunct/>
        <w:adjustRightInd w:val="0"/>
        <w:snapToGrid w:val="0"/>
        <w:spacing w:line="339" w:lineRule="auto"/>
        <w:ind w:left="1277" w:leftChars="608"/>
        <w:jc w:val="both"/>
        <w:rPr>
          <w:rFonts w:ascii="仿宋" w:hAnsi="仿宋" w:eastAsia="仿宋" w:cs="宋体"/>
          <w:b/>
          <w:bCs/>
          <w:color w:val="000000"/>
          <w:kern w:val="0"/>
          <w:sz w:val="32"/>
          <w:szCs w:val="32"/>
          <w:highlight w:val="none"/>
          <w:u w:val="single"/>
        </w:rPr>
      </w:pP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  <w:highlight w:val="none"/>
        </w:rPr>
        <w:t>采购项目名称：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  <w:highlight w:val="none"/>
        </w:rPr>
        <w:br w:type="textWrapping"/>
      </w: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  <w:highlight w:val="none"/>
        </w:rPr>
        <w:t>采购项目编号：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  <w:highlight w:val="none"/>
        </w:rPr>
        <w:br w:type="textWrapping"/>
      </w: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  <w:highlight w:val="none"/>
        </w:rPr>
        <w:t>发 行 单  位：</w:t>
      </w:r>
      <w:r>
        <w:rPr>
          <w:rFonts w:hint="eastAsia" w:ascii="仿宋" w:hAnsi="仿宋" w:eastAsia="仿宋" w:cs="宋体"/>
          <w:b/>
          <w:bCs/>
          <w:color w:val="000000"/>
          <w:kern w:val="0"/>
          <w:sz w:val="32"/>
          <w:szCs w:val="32"/>
          <w:highlight w:val="none"/>
          <w:u w:val="single"/>
        </w:rPr>
        <w:t xml:space="preserve">        （单位公章）</w:t>
      </w:r>
    </w:p>
    <w:p w14:paraId="3466A2A6">
      <w:pPr>
        <w:widowControl w:val="0"/>
        <w:topLinePunct/>
        <w:adjustRightInd w:val="0"/>
        <w:snapToGrid w:val="0"/>
        <w:spacing w:line="339" w:lineRule="auto"/>
        <w:ind w:left="638" w:leftChars="304"/>
        <w:jc w:val="both"/>
        <w:rPr>
          <w:rFonts w:ascii="仿宋" w:hAnsi="仿宋" w:eastAsia="仿宋" w:cs="宋体"/>
          <w:b/>
          <w:bCs/>
          <w:color w:val="000000"/>
          <w:kern w:val="0"/>
          <w:sz w:val="32"/>
          <w:szCs w:val="32"/>
          <w:highlight w:val="none"/>
          <w:u w:val="single"/>
        </w:rPr>
      </w:pPr>
    </w:p>
    <w:p w14:paraId="535E4906">
      <w:pPr>
        <w:pStyle w:val="2"/>
        <w:rPr>
          <w:rFonts w:ascii="仿宋" w:hAnsi="仿宋" w:eastAsia="仿宋" w:cs="宋体"/>
          <w:b/>
          <w:bCs/>
          <w:color w:val="000000"/>
          <w:kern w:val="0"/>
          <w:sz w:val="32"/>
          <w:szCs w:val="32"/>
          <w:highlight w:val="none"/>
          <w:u w:val="single"/>
        </w:rPr>
      </w:pPr>
    </w:p>
    <w:p w14:paraId="4F480B09">
      <w:pPr>
        <w:rPr>
          <w:rFonts w:ascii="仿宋" w:hAnsi="仿宋" w:eastAsia="仿宋" w:cs="宋体"/>
          <w:b/>
          <w:bCs/>
          <w:color w:val="000000"/>
          <w:kern w:val="0"/>
          <w:sz w:val="32"/>
          <w:szCs w:val="32"/>
          <w:highlight w:val="none"/>
          <w:u w:val="single"/>
        </w:rPr>
      </w:pPr>
    </w:p>
    <w:p w14:paraId="45F24CC7">
      <w:pPr>
        <w:pStyle w:val="2"/>
        <w:rPr>
          <w:rFonts w:ascii="仿宋" w:hAnsi="仿宋" w:eastAsia="仿宋" w:cs="宋体"/>
          <w:b/>
          <w:bCs/>
          <w:color w:val="000000"/>
          <w:kern w:val="0"/>
          <w:sz w:val="32"/>
          <w:szCs w:val="32"/>
          <w:highlight w:val="none"/>
          <w:u w:val="single"/>
        </w:rPr>
      </w:pPr>
    </w:p>
    <w:p w14:paraId="6568D391">
      <w:pPr>
        <w:rPr>
          <w:rFonts w:ascii="仿宋" w:hAnsi="仿宋" w:eastAsia="仿宋" w:cs="宋体"/>
          <w:b/>
          <w:bCs/>
          <w:color w:val="000000"/>
          <w:kern w:val="0"/>
          <w:sz w:val="32"/>
          <w:szCs w:val="32"/>
          <w:highlight w:val="none"/>
          <w:u w:val="single"/>
        </w:rPr>
      </w:pPr>
    </w:p>
    <w:p w14:paraId="44C56616">
      <w:pPr>
        <w:pStyle w:val="2"/>
        <w:rPr>
          <w:rFonts w:ascii="仿宋" w:hAnsi="仿宋" w:eastAsia="仿宋" w:cs="宋体"/>
          <w:b/>
          <w:bCs/>
          <w:color w:val="000000"/>
          <w:kern w:val="0"/>
          <w:sz w:val="32"/>
          <w:szCs w:val="32"/>
          <w:highlight w:val="none"/>
          <w:u w:val="single"/>
        </w:rPr>
      </w:pPr>
    </w:p>
    <w:p w14:paraId="20F13E27">
      <w:pPr>
        <w:rPr>
          <w:rFonts w:ascii="仿宋" w:hAnsi="仿宋" w:eastAsia="仿宋" w:cs="宋体"/>
          <w:b/>
          <w:bCs/>
          <w:color w:val="000000"/>
          <w:kern w:val="0"/>
          <w:sz w:val="32"/>
          <w:szCs w:val="32"/>
          <w:highlight w:val="none"/>
          <w:u w:val="single"/>
        </w:rPr>
      </w:pPr>
    </w:p>
    <w:p w14:paraId="7131532A">
      <w:pPr>
        <w:pStyle w:val="2"/>
        <w:rPr>
          <w:rFonts w:ascii="仿宋" w:hAnsi="仿宋" w:eastAsia="仿宋" w:cs="宋体"/>
          <w:b/>
          <w:bCs/>
          <w:color w:val="000000"/>
          <w:kern w:val="0"/>
          <w:sz w:val="32"/>
          <w:szCs w:val="32"/>
          <w:highlight w:val="none"/>
          <w:u w:val="single"/>
        </w:rPr>
      </w:pPr>
    </w:p>
    <w:p w14:paraId="374998FB">
      <w:pPr>
        <w:rPr>
          <w:highlight w:val="none"/>
        </w:rPr>
      </w:pPr>
    </w:p>
    <w:p w14:paraId="569F0508">
      <w:pPr>
        <w:widowControl w:val="0"/>
        <w:topLinePunct/>
        <w:adjustRightInd w:val="0"/>
        <w:snapToGrid w:val="0"/>
        <w:spacing w:line="339" w:lineRule="auto"/>
        <w:jc w:val="center"/>
        <w:rPr>
          <w:rFonts w:ascii="方正小标宋简体" w:hAnsi="方正小标宋简体" w:eastAsia="方正小标宋简体" w:cs="方正小标宋简体"/>
          <w:sz w:val="40"/>
          <w:szCs w:val="40"/>
          <w:highlight w:val="none"/>
        </w:rPr>
      </w:pPr>
      <w:r>
        <w:rPr>
          <w:rFonts w:ascii="方正小标宋简体" w:hAnsi="方正小标宋简体" w:eastAsia="方正小标宋简体" w:cs="方正小标宋简体"/>
          <w:sz w:val="40"/>
          <w:szCs w:val="40"/>
          <w:highlight w:val="none"/>
        </w:rPr>
        <w:t>目录</w:t>
      </w:r>
    </w:p>
    <w:p w14:paraId="17F7AAC1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</w:p>
    <w:p w14:paraId="406A591D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</w:p>
    <w:p w14:paraId="37AE1EBE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（自拟）</w:t>
      </w:r>
    </w:p>
    <w:p w14:paraId="167978F4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  <w:sectPr>
          <w:footerReference r:id="rId5" w:type="default"/>
          <w:pgSz w:w="11906" w:h="16838"/>
          <w:pgMar w:top="2098" w:right="1474" w:bottom="1984" w:left="1587" w:header="851" w:footer="992" w:gutter="0"/>
          <w:pgNumType w:fmt="numberInDash"/>
          <w:cols w:space="425" w:num="1"/>
          <w:docGrid w:type="lines" w:linePitch="312" w:charSpace="0"/>
        </w:sectPr>
      </w:pPr>
    </w:p>
    <w:p w14:paraId="075C87B9">
      <w:pPr>
        <w:widowControl w:val="0"/>
        <w:topLinePunct/>
        <w:adjustRightInd w:val="0"/>
        <w:snapToGrid w:val="0"/>
        <w:spacing w:line="339" w:lineRule="auto"/>
        <w:jc w:val="center"/>
        <w:rPr>
          <w:rFonts w:ascii="黑体" w:hAnsi="黑体" w:eastAsia="黑体" w:cs="黑体"/>
          <w:sz w:val="32"/>
          <w:szCs w:val="32"/>
          <w:highlight w:val="none"/>
        </w:rPr>
      </w:pPr>
      <w:r>
        <w:rPr>
          <w:rFonts w:ascii="黑体" w:hAnsi="黑体" w:eastAsia="黑体" w:cs="黑体"/>
          <w:sz w:val="32"/>
          <w:szCs w:val="32"/>
          <w:highlight w:val="none"/>
        </w:rPr>
        <w:t>第一部分相关证明文件</w:t>
      </w:r>
    </w:p>
    <w:p w14:paraId="71B99588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</w:p>
    <w:p w14:paraId="1B22D640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1.营业执照</w:t>
      </w:r>
    </w:p>
    <w:p w14:paraId="28AC507F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2.陕西省中小学教科书发行《出版物经营许可证》</w:t>
      </w:r>
    </w:p>
    <w:p w14:paraId="222C4C0E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  <w:sectPr>
          <w:pgSz w:w="11906" w:h="16838"/>
          <w:pgMar w:top="2098" w:right="1474" w:bottom="1984" w:left="1587" w:header="851" w:footer="992" w:gutter="0"/>
          <w:pgNumType w:fmt="numberInDash"/>
          <w:cols w:space="425" w:num="1"/>
          <w:docGrid w:type="lines" w:linePitch="312" w:charSpace="0"/>
        </w:sectPr>
      </w:pPr>
    </w:p>
    <w:p w14:paraId="6A71FFE1">
      <w:pPr>
        <w:widowControl w:val="0"/>
        <w:topLinePunct/>
        <w:adjustRightInd w:val="0"/>
        <w:snapToGrid w:val="0"/>
        <w:spacing w:line="339" w:lineRule="auto"/>
        <w:jc w:val="center"/>
        <w:outlineLvl w:val="0"/>
        <w:rPr>
          <w:rFonts w:ascii="黑体" w:hAnsi="黑体" w:eastAsia="黑体" w:cs="黑体"/>
          <w:sz w:val="32"/>
          <w:szCs w:val="32"/>
          <w:highlight w:val="none"/>
        </w:rPr>
      </w:pPr>
      <w:bookmarkStart w:id="0" w:name="_Toc27202"/>
      <w:bookmarkStart w:id="1" w:name="_Toc11276"/>
      <w:bookmarkStart w:id="2" w:name="_Toc18856"/>
      <w:bookmarkStart w:id="3" w:name="_Toc13223"/>
      <w:bookmarkStart w:id="4" w:name="_Toc29231"/>
      <w:r>
        <w:rPr>
          <w:rFonts w:ascii="黑体" w:hAnsi="黑体" w:eastAsia="黑体" w:cs="黑体"/>
          <w:sz w:val="32"/>
          <w:szCs w:val="32"/>
          <w:highlight w:val="none"/>
        </w:rPr>
        <w:t>第二部分分项报价表（发行）</w:t>
      </w:r>
      <w:bookmarkEnd w:id="0"/>
      <w:bookmarkEnd w:id="1"/>
      <w:bookmarkEnd w:id="2"/>
      <w:bookmarkEnd w:id="3"/>
      <w:bookmarkEnd w:id="4"/>
    </w:p>
    <w:p w14:paraId="473AA785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</w:p>
    <w:p w14:paraId="4DA5F395">
      <w:pPr>
        <w:widowControl w:val="0"/>
        <w:topLinePunct/>
        <w:adjustRightInd w:val="0"/>
        <w:snapToGrid w:val="0"/>
        <w:spacing w:line="339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分项报价表（发行）</w:t>
      </w:r>
    </w:p>
    <w:p w14:paraId="033D66B1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</w:p>
    <w:p w14:paraId="7D97CEFE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  <w:u w:val="singl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发行单位名称</w:t>
      </w:r>
      <w:r>
        <w:rPr>
          <w:rFonts w:ascii="Times New Roman" w:hAnsi="Times New Roman" w:eastAsia="仿宋_GB2312" w:cs="Times New Roman"/>
          <w:sz w:val="32"/>
          <w:szCs w:val="32"/>
          <w:highlight w:val="none"/>
          <w:lang w:val="zh-CN"/>
        </w:rPr>
        <w:t>：</w:t>
      </w:r>
      <w:r>
        <w:rPr>
          <w:rFonts w:ascii="Times New Roman" w:hAnsi="Times New Roman" w:eastAsia="仿宋_GB2312" w:cs="Times New Roman"/>
          <w:sz w:val="32"/>
          <w:szCs w:val="32"/>
          <w:highlight w:val="none"/>
          <w:u w:val="single"/>
        </w:rPr>
        <w:t>（单位公章）</w:t>
      </w:r>
    </w:p>
    <w:p w14:paraId="3F4F0162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</w:p>
    <w:tbl>
      <w:tblPr>
        <w:tblStyle w:val="4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7"/>
        <w:gridCol w:w="1501"/>
        <w:gridCol w:w="1248"/>
        <w:gridCol w:w="2574"/>
      </w:tblGrid>
      <w:tr w14:paraId="43433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3" w:hRule="atLeast"/>
          <w:jc w:val="center"/>
        </w:trPr>
        <w:tc>
          <w:tcPr>
            <w:tcW w:w="3397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 w14:paraId="4820F55C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ind w:firstLine="640" w:firstLineChars="200"/>
              <w:jc w:val="center"/>
              <w:rPr>
                <w:rFonts w:ascii="黑体" w:hAnsi="黑体" w:eastAsia="黑体" w:cs="黑体"/>
                <w:sz w:val="32"/>
                <w:szCs w:val="32"/>
                <w:highlight w:val="none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highlight w:val="none"/>
              </w:rPr>
              <w:t>报价内容</w:t>
            </w:r>
          </w:p>
          <w:p w14:paraId="507951DD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32"/>
                <w:szCs w:val="32"/>
                <w:highlight w:val="none"/>
              </w:rPr>
            </w:pPr>
          </w:p>
          <w:p w14:paraId="07415DDC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黑体" w:hAnsi="黑体" w:eastAsia="黑体" w:cs="黑体"/>
                <w:sz w:val="32"/>
                <w:szCs w:val="32"/>
                <w:highlight w:val="none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highlight w:val="none"/>
              </w:rPr>
              <w:t>谈判内容</w:t>
            </w:r>
          </w:p>
        </w:tc>
        <w:tc>
          <w:tcPr>
            <w:tcW w:w="1501" w:type="dxa"/>
            <w:tcBorders>
              <w:bottom w:val="single" w:color="auto" w:sz="4" w:space="0"/>
            </w:tcBorders>
            <w:vAlign w:val="center"/>
          </w:tcPr>
          <w:p w14:paraId="24B720D8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32"/>
                <w:szCs w:val="32"/>
                <w:highlight w:val="none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highlight w:val="none"/>
                <w:lang w:val="zh-CN"/>
              </w:rPr>
              <w:t>国家规定的</w:t>
            </w:r>
            <w:r>
              <w:rPr>
                <w:rFonts w:hint="eastAsia" w:ascii="黑体" w:hAnsi="黑体" w:eastAsia="黑体" w:cs="黑体"/>
                <w:sz w:val="32"/>
                <w:szCs w:val="32"/>
                <w:highlight w:val="none"/>
              </w:rPr>
              <w:t>发行</w:t>
            </w:r>
            <w:r>
              <w:rPr>
                <w:rFonts w:hint="eastAsia" w:ascii="黑体" w:hAnsi="黑体" w:eastAsia="黑体" w:cs="黑体"/>
                <w:sz w:val="32"/>
                <w:szCs w:val="32"/>
                <w:highlight w:val="none"/>
                <w:lang w:val="zh-CN"/>
              </w:rPr>
              <w:t>折扣率</w:t>
            </w:r>
          </w:p>
        </w:tc>
        <w:tc>
          <w:tcPr>
            <w:tcW w:w="1248" w:type="dxa"/>
            <w:tcBorders>
              <w:bottom w:val="single" w:color="auto" w:sz="4" w:space="0"/>
            </w:tcBorders>
            <w:vAlign w:val="center"/>
          </w:tcPr>
          <w:p w14:paraId="1AF8DB42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32"/>
                <w:szCs w:val="32"/>
                <w:highlight w:val="none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highlight w:val="none"/>
              </w:rPr>
              <w:t>发行优惠折扣率</w:t>
            </w:r>
          </w:p>
        </w:tc>
        <w:tc>
          <w:tcPr>
            <w:tcW w:w="2574" w:type="dxa"/>
            <w:tcBorders>
              <w:bottom w:val="single" w:color="auto" w:sz="4" w:space="0"/>
            </w:tcBorders>
            <w:vAlign w:val="center"/>
          </w:tcPr>
          <w:p w14:paraId="6762E5E3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32"/>
                <w:szCs w:val="32"/>
                <w:highlight w:val="none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highlight w:val="none"/>
              </w:rPr>
              <w:t>发行时限</w:t>
            </w:r>
          </w:p>
        </w:tc>
      </w:tr>
      <w:tr w14:paraId="4CB90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0" w:hRule="atLeast"/>
          <w:jc w:val="center"/>
        </w:trPr>
        <w:tc>
          <w:tcPr>
            <w:tcW w:w="3397" w:type="dxa"/>
            <w:tcBorders>
              <w:bottom w:val="single" w:color="auto" w:sz="4" w:space="0"/>
            </w:tcBorders>
            <w:vAlign w:val="center"/>
          </w:tcPr>
          <w:p w14:paraId="081E214D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1501" w:type="dxa"/>
            <w:tcBorders>
              <w:bottom w:val="single" w:color="auto" w:sz="4" w:space="0"/>
            </w:tcBorders>
            <w:vAlign w:val="center"/>
          </w:tcPr>
          <w:p w14:paraId="44318013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1248" w:type="dxa"/>
            <w:tcBorders>
              <w:bottom w:val="single" w:color="auto" w:sz="4" w:space="0"/>
            </w:tcBorders>
            <w:vAlign w:val="center"/>
          </w:tcPr>
          <w:p w14:paraId="72637766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2574" w:type="dxa"/>
            <w:tcBorders>
              <w:bottom w:val="single" w:color="auto" w:sz="4" w:space="0"/>
            </w:tcBorders>
            <w:vAlign w:val="center"/>
          </w:tcPr>
          <w:p w14:paraId="66E5909A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  <w:p w14:paraId="3257B445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  <w:r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  <w:t>榆林、延安二市单列</w:t>
            </w:r>
          </w:p>
        </w:tc>
      </w:tr>
    </w:tbl>
    <w:p w14:paraId="07ABE59D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  <w:lang w:val="zh-CN"/>
        </w:rPr>
      </w:pPr>
    </w:p>
    <w:p w14:paraId="613197E8">
      <w:pPr>
        <w:widowControl w:val="0"/>
        <w:topLinePunct/>
        <w:adjustRightInd w:val="0"/>
        <w:snapToGrid w:val="0"/>
        <w:spacing w:line="339" w:lineRule="auto"/>
        <w:ind w:firstLine="643" w:firstLineChars="200"/>
        <w:jc w:val="both"/>
        <w:rPr>
          <w:rFonts w:ascii="Times New Roman" w:hAnsi="Times New Roman" w:eastAsia="仿宋_GB2312" w:cs="Times New Roman"/>
          <w:b/>
          <w:bCs/>
          <w:sz w:val="32"/>
          <w:szCs w:val="32"/>
          <w:highlight w:val="none"/>
          <w:lang w:val="zh-CN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  <w:highlight w:val="none"/>
          <w:lang w:val="zh-CN"/>
        </w:rPr>
        <w:t>注：</w:t>
      </w:r>
    </w:p>
    <w:p w14:paraId="09F41ECC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  <w:lang w:val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.</w:t>
      </w:r>
      <w:r>
        <w:rPr>
          <w:rFonts w:ascii="Times New Roman" w:hAnsi="Times New Roman" w:eastAsia="仿宋_GB2312" w:cs="Times New Roman"/>
          <w:sz w:val="32"/>
          <w:szCs w:val="32"/>
          <w:highlight w:val="none"/>
          <w:lang w:val="zh-CN"/>
        </w:rPr>
        <w:t>彩色版和黑白版分开填写；</w:t>
      </w:r>
    </w:p>
    <w:p w14:paraId="60FDCF56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  <w:lang w:val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.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优惠后的发行折扣率＝国家规定发行折扣率（彩色版28%、黑白版30%）－发行优惠折扣率。</w:t>
      </w:r>
    </w:p>
    <w:p w14:paraId="20A88470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</w:p>
    <w:p w14:paraId="1A32B2D9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  <w:sectPr>
          <w:pgSz w:w="11906" w:h="16838"/>
          <w:pgMar w:top="2098" w:right="1474" w:bottom="1984" w:left="1587" w:header="851" w:footer="992" w:gutter="0"/>
          <w:pgNumType w:fmt="numberInDash"/>
          <w:cols w:space="425" w:num="1"/>
          <w:docGrid w:type="lines" w:linePitch="312" w:charSpace="0"/>
        </w:sectPr>
      </w:pPr>
    </w:p>
    <w:p w14:paraId="22221738">
      <w:pPr>
        <w:widowControl w:val="0"/>
        <w:topLinePunct/>
        <w:adjustRightInd w:val="0"/>
        <w:snapToGrid w:val="0"/>
        <w:spacing w:line="339" w:lineRule="auto"/>
        <w:jc w:val="center"/>
        <w:outlineLvl w:val="0"/>
        <w:rPr>
          <w:rFonts w:ascii="黑体" w:hAnsi="黑体" w:eastAsia="黑体" w:cs="黑体"/>
          <w:sz w:val="32"/>
          <w:szCs w:val="32"/>
          <w:highlight w:val="none"/>
        </w:rPr>
      </w:pPr>
      <w:bookmarkStart w:id="5" w:name="_Toc16000"/>
      <w:bookmarkStart w:id="6" w:name="_Toc5168"/>
      <w:bookmarkStart w:id="7" w:name="_Toc721"/>
      <w:bookmarkStart w:id="8" w:name="_Toc29172"/>
      <w:bookmarkStart w:id="9" w:name="_Toc3528"/>
      <w:r>
        <w:rPr>
          <w:rFonts w:ascii="黑体" w:hAnsi="黑体" w:eastAsia="黑体" w:cs="黑体"/>
          <w:sz w:val="32"/>
          <w:szCs w:val="32"/>
          <w:highlight w:val="none"/>
        </w:rPr>
        <w:t>第三部分方案及说明</w:t>
      </w:r>
      <w:bookmarkEnd w:id="5"/>
      <w:bookmarkEnd w:id="6"/>
      <w:bookmarkEnd w:id="7"/>
      <w:bookmarkEnd w:id="8"/>
      <w:bookmarkEnd w:id="9"/>
    </w:p>
    <w:p w14:paraId="6CEC67D2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包括以下内容：</w:t>
      </w:r>
    </w:p>
    <w:p w14:paraId="18E7E482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outlineLvl w:val="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bookmarkStart w:id="10" w:name="_Toc27351"/>
      <w:bookmarkStart w:id="11" w:name="_Toc17630"/>
      <w:bookmarkStart w:id="12" w:name="_Toc17379"/>
      <w:bookmarkStart w:id="13" w:name="_Toc30618"/>
      <w:bookmarkStart w:id="14" w:name="_Toc12690"/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一、供应商基本情况说明。</w:t>
      </w:r>
      <w:bookmarkEnd w:id="10"/>
      <w:bookmarkEnd w:id="11"/>
      <w:bookmarkEnd w:id="12"/>
      <w:bookmarkEnd w:id="13"/>
      <w:bookmarkEnd w:id="14"/>
    </w:p>
    <w:p w14:paraId="20DC3555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outlineLvl w:val="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bookmarkStart w:id="15" w:name="_Toc8487"/>
      <w:bookmarkStart w:id="16" w:name="_Toc21015"/>
      <w:bookmarkStart w:id="17" w:name="_Toc15212"/>
      <w:bookmarkStart w:id="18" w:name="_Toc23200"/>
      <w:bookmarkStart w:id="19" w:name="_Toc22863"/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二、为本项目提供的服务措施承诺。</w:t>
      </w:r>
      <w:bookmarkEnd w:id="15"/>
      <w:bookmarkEnd w:id="16"/>
      <w:bookmarkEnd w:id="17"/>
      <w:bookmarkEnd w:id="18"/>
      <w:bookmarkEnd w:id="19"/>
    </w:p>
    <w:p w14:paraId="32D75436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outlineLvl w:val="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bookmarkStart w:id="20" w:name="_Toc4788"/>
      <w:bookmarkStart w:id="21" w:name="_Toc23175"/>
      <w:bookmarkStart w:id="22" w:name="_Toc6144"/>
      <w:bookmarkStart w:id="23" w:name="_Toc21713"/>
      <w:bookmarkStart w:id="24" w:name="_Toc26619"/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三、发行的组织、保障措施、实施方案及到货周期承诺。</w:t>
      </w:r>
      <w:bookmarkEnd w:id="20"/>
      <w:bookmarkEnd w:id="21"/>
      <w:bookmarkEnd w:id="22"/>
      <w:bookmarkEnd w:id="23"/>
      <w:bookmarkEnd w:id="24"/>
    </w:p>
    <w:p w14:paraId="74DDD191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outlineLvl w:val="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bookmarkStart w:id="25" w:name="_Toc23461"/>
      <w:bookmarkStart w:id="26" w:name="_Toc22184"/>
      <w:bookmarkStart w:id="27" w:name="_Toc8604"/>
      <w:bookmarkStart w:id="28" w:name="_Toc18047"/>
      <w:bookmarkStart w:id="29" w:name="_Toc9214"/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四、征订、发行时限承诺及保证措施。</w:t>
      </w:r>
      <w:bookmarkEnd w:id="25"/>
      <w:bookmarkEnd w:id="26"/>
      <w:bookmarkEnd w:id="27"/>
      <w:bookmarkEnd w:id="28"/>
      <w:bookmarkEnd w:id="29"/>
    </w:p>
    <w:p w14:paraId="3C7A90FA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outlineLvl w:val="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bookmarkStart w:id="30" w:name="_Toc19859"/>
      <w:bookmarkStart w:id="31" w:name="_Toc15611"/>
      <w:bookmarkStart w:id="32" w:name="_Toc32681"/>
      <w:bookmarkStart w:id="33" w:name="_Toc1859"/>
      <w:bookmarkStart w:id="34" w:name="_Toc8066"/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五、履约能力说明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（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应包括以下实际情况的证明和说明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）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：</w:t>
      </w:r>
      <w:bookmarkEnd w:id="30"/>
      <w:bookmarkEnd w:id="31"/>
      <w:bookmarkEnd w:id="32"/>
      <w:bookmarkEnd w:id="33"/>
      <w:bookmarkEnd w:id="34"/>
    </w:p>
    <w:p w14:paraId="23010787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1.用于教材发行的流动资金情况；</w:t>
      </w:r>
    </w:p>
    <w:p w14:paraId="6DE7BF3E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2.有效的配套发行网络和教材储运、配送、调剂、常年零售条件情况（有能够保证中小学教科书除储存质量要求的，与其经营品种和规模相适应的储运能力和仓储面积，并有与中小学教科书发行相适应的自有物流配送体系）；</w:t>
      </w:r>
    </w:p>
    <w:p w14:paraId="091C778F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3.专门的教材发行机构情况；与承担教材发行工作相适应，熟悉教材征订、配送、调剂、结算的教材发行业务人员情况；</w:t>
      </w:r>
    </w:p>
    <w:p w14:paraId="5380F979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4.具备符合行业标准的信息管理系统；</w:t>
      </w:r>
    </w:p>
    <w:p w14:paraId="2D360D51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5.教材发行管理规章制度情况；</w:t>
      </w:r>
    </w:p>
    <w:p w14:paraId="28309CA3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6.义务教育教科书的余缺调剂工作的时间：是否能保证在每学期开学后10天内做好教科书的余缺调剂工作；</w:t>
      </w:r>
    </w:p>
    <w:p w14:paraId="743F4880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7.教材等出版物发行经验和社会信誉情况（是否遵守国家有关发行的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法律法规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和规定，年检是否合格，最近三年内有无违反国家法律及出版管理法规的行为）。</w:t>
      </w:r>
    </w:p>
    <w:p w14:paraId="60B028BD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outlineLvl w:val="0"/>
        <w:rPr>
          <w:rFonts w:ascii="Times New Roman" w:hAnsi="Times New Roman" w:eastAsia="仿宋_GB2312" w:cs="Times New Roman"/>
          <w:sz w:val="32"/>
          <w:szCs w:val="32"/>
          <w:highlight w:val="none"/>
        </w:rPr>
        <w:sectPr>
          <w:pgSz w:w="11906" w:h="16838"/>
          <w:pgMar w:top="2098" w:right="1474" w:bottom="1984" w:left="1587" w:header="851" w:footer="992" w:gutter="0"/>
          <w:pgNumType w:fmt="numberInDash"/>
          <w:cols w:space="425" w:num="1"/>
          <w:docGrid w:type="lines" w:linePitch="312" w:charSpace="0"/>
        </w:sectPr>
      </w:pPr>
      <w:bookmarkStart w:id="35" w:name="_Toc3306"/>
      <w:bookmarkStart w:id="36" w:name="_Toc25829"/>
      <w:bookmarkStart w:id="37" w:name="_Toc11181"/>
      <w:bookmarkStart w:id="38" w:name="_Toc4967"/>
      <w:bookmarkStart w:id="39" w:name="_Toc2613"/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六、供应商认为有必要说明的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其他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问题。</w:t>
      </w:r>
      <w:bookmarkEnd w:id="35"/>
      <w:bookmarkEnd w:id="36"/>
      <w:bookmarkEnd w:id="37"/>
      <w:bookmarkEnd w:id="38"/>
      <w:bookmarkEnd w:id="39"/>
    </w:p>
    <w:p w14:paraId="51ACD66B">
      <w:pPr>
        <w:widowControl w:val="0"/>
        <w:topLinePunct/>
        <w:adjustRightInd w:val="0"/>
        <w:snapToGrid w:val="0"/>
        <w:spacing w:line="339" w:lineRule="auto"/>
        <w:jc w:val="center"/>
        <w:outlineLvl w:val="0"/>
        <w:rPr>
          <w:rFonts w:ascii="黑体" w:hAnsi="黑体" w:eastAsia="黑体" w:cs="黑体"/>
          <w:sz w:val="32"/>
          <w:szCs w:val="32"/>
          <w:highlight w:val="none"/>
        </w:rPr>
      </w:pPr>
      <w:bookmarkStart w:id="40" w:name="_Toc30107"/>
      <w:bookmarkStart w:id="41" w:name="_Toc2825"/>
      <w:bookmarkStart w:id="42" w:name="_Toc25155"/>
      <w:bookmarkStart w:id="43" w:name="_Toc6135"/>
      <w:bookmarkStart w:id="44" w:name="_Toc29056"/>
      <w:r>
        <w:rPr>
          <w:rFonts w:ascii="黑体" w:hAnsi="黑体" w:eastAsia="黑体" w:cs="黑体"/>
          <w:sz w:val="32"/>
          <w:szCs w:val="32"/>
          <w:highlight w:val="none"/>
        </w:rPr>
        <w:t>第四部分响应说明</w:t>
      </w:r>
      <w:bookmarkEnd w:id="40"/>
      <w:bookmarkEnd w:id="41"/>
      <w:bookmarkEnd w:id="42"/>
      <w:bookmarkEnd w:id="43"/>
      <w:bookmarkEnd w:id="44"/>
    </w:p>
    <w:p w14:paraId="06042DC9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</w:p>
    <w:p w14:paraId="4344151B">
      <w:pPr>
        <w:widowControl w:val="0"/>
        <w:topLinePunct/>
        <w:adjustRightInd w:val="0"/>
        <w:snapToGrid w:val="0"/>
        <w:spacing w:line="339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响应偏离表</w:t>
      </w:r>
    </w:p>
    <w:tbl>
      <w:tblPr>
        <w:tblStyle w:val="4"/>
        <w:tblW w:w="4998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918"/>
        <w:gridCol w:w="2829"/>
        <w:gridCol w:w="2006"/>
        <w:gridCol w:w="659"/>
        <w:gridCol w:w="1432"/>
      </w:tblGrid>
      <w:tr w14:paraId="3804ADD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3CDB7B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549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AE98CB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采购文件条目号</w:t>
            </w:r>
          </w:p>
        </w:tc>
        <w:tc>
          <w:tcPr>
            <w:tcW w:w="169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5DC49F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采购文件要求</w:t>
            </w:r>
          </w:p>
        </w:tc>
        <w:tc>
          <w:tcPr>
            <w:tcW w:w="1199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177D53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响应文件承诺</w:t>
            </w:r>
          </w:p>
        </w:tc>
        <w:tc>
          <w:tcPr>
            <w:tcW w:w="394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75BF1F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85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128160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8"/>
                <w:szCs w:val="28"/>
                <w:highlight w:val="non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</w:rPr>
              <w:t>说明</w:t>
            </w:r>
          </w:p>
        </w:tc>
      </w:tr>
      <w:tr w14:paraId="4EA73AF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AC61F9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549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751BAB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169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12C4BE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1199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2A5AE3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394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F8D54A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85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1F5770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</w:tr>
      <w:tr w14:paraId="242DB9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7046AB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549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3DA99F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169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00B503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1199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439128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394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C2ED0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85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128625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</w:tr>
      <w:tr w14:paraId="4EC278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B6327E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549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430779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169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C3078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1199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5D6328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394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8BA324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85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F3757C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</w:tr>
      <w:tr w14:paraId="49BFD8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EC2A00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549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24FE8E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169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CE4267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1199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860A27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394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E00B40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85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72D634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</w:tr>
      <w:tr w14:paraId="0DAE70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CC8938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549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DB0514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1691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420BAA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1199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E2CA81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394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E87828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  <w:tc>
          <w:tcPr>
            <w:tcW w:w="856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5D34E8">
            <w:pPr>
              <w:widowControl w:val="0"/>
              <w:overflowPunct w:val="0"/>
              <w:topLinePunct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仿宋_GB2312" w:cs="Times New Roman"/>
                <w:sz w:val="32"/>
                <w:szCs w:val="32"/>
                <w:highlight w:val="none"/>
              </w:rPr>
            </w:pPr>
          </w:p>
        </w:tc>
      </w:tr>
    </w:tbl>
    <w:p w14:paraId="7CC2B581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</w:p>
    <w:p w14:paraId="5F880118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.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本表须根据第三章3.3技术要求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“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技术参数与性能指标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”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序号2发行要求、3.4商务要求进行响应。</w:t>
      </w:r>
    </w:p>
    <w:p w14:paraId="4881AAB4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.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若完全响应（即不存在正偏离或负偏离），本表无需填写。</w:t>
      </w:r>
    </w:p>
    <w:p w14:paraId="0865EC21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.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若存在偏离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（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包括正偏离或负偏离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）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，应填写上表，并对偏离情况进行说明。</w:t>
      </w:r>
    </w:p>
    <w:p w14:paraId="53B2FAFE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.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该表可扩展。</w:t>
      </w:r>
    </w:p>
    <w:p w14:paraId="10E068CB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</w:p>
    <w:p w14:paraId="23CE4D2B">
      <w:pPr>
        <w:widowControl w:val="0"/>
        <w:topLinePunct/>
        <w:adjustRightInd w:val="0"/>
        <w:snapToGrid w:val="0"/>
        <w:spacing w:line="339" w:lineRule="auto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</w:rPr>
      </w:pPr>
    </w:p>
    <w:p w14:paraId="2E376FA2">
      <w:pPr>
        <w:widowControl w:val="0"/>
        <w:topLinePunct/>
        <w:adjustRightInd w:val="0"/>
        <w:snapToGrid w:val="0"/>
        <w:spacing w:line="339" w:lineRule="auto"/>
        <w:ind w:firstLine="2240" w:firstLineChars="700"/>
        <w:jc w:val="both"/>
        <w:rPr>
          <w:rFonts w:ascii="Times New Roman" w:hAnsi="Times New Roman" w:eastAsia="仿宋_GB2312" w:cs="Times New Roman"/>
          <w:sz w:val="32"/>
          <w:szCs w:val="32"/>
          <w:highlight w:val="none"/>
          <w:u w:val="singl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发行单位名称：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single"/>
        </w:rPr>
        <w:t>（</w:t>
      </w:r>
      <w:r>
        <w:rPr>
          <w:rFonts w:ascii="Times New Roman" w:hAnsi="Times New Roman" w:eastAsia="仿宋_GB2312" w:cs="Times New Roman"/>
          <w:sz w:val="32"/>
          <w:szCs w:val="32"/>
          <w:highlight w:val="none"/>
          <w:u w:val="single"/>
        </w:rPr>
        <w:t>单位公章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single"/>
        </w:rPr>
        <w:t>）</w:t>
      </w:r>
    </w:p>
    <w:p w14:paraId="4C38E2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5735D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FAE30F4">
                          <w:pPr>
                            <w:pStyle w:val="3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- 67 -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8V5Q0wAgAAYw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A8V5Q0wAgAAYwQAAA4AAAAAAAAAAQAgAAAAHwEAAGRycy9lMm9Eb2MueG1sUEsFBgAA&#10;AAAGAAYAWQEAAMEFAAAAAA==&#10;">
              <v:path/>
              <v:fill on="f" focussize="0,0"/>
              <v:stroke on="f" weight="0.5pt" joinstyle="miter"/>
              <v:imagedata o:title=""/>
              <o:lock v:ext="edit"/>
              <v:textbox inset="0mm,0mm,0mm,0mm" style="mso-fit-shape-to-text:t;">
                <w:txbxContent>
                  <w:p w14:paraId="4FAE30F4">
                    <w:pPr>
                      <w:pStyle w:val="3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- 67 -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99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2025-08-03T06:58:03Z</dcterms:created>
  <dc:creator>张婷&amp;连聪</dc:creator>
  <cp:lastModifiedBy>荒年゛</cp:lastModifiedBy>
  <dcterms:modified xsi:type="dcterms:W3CDTF">2025-08-03T07:00:14Z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eyJoZGlkIjoiNzMzNjZmNjdiZjI5Yjg0ZmY2NjVjYzFkNGI1OGM3MTAiLCJ1c2VySWQiOiI0MzAyMjMyMzEifQ==</vt:lpwstr>
  </property>
  <property fmtid="{D5CDD505-2E9C-101B-9397-08002B2CF9AE}" pid="4" name="ICV">
    <vt:lpwstr>4A997C81A6D54C7B8BC3F168EB25343B_12</vt:lpwstr>
  </property>
</Properties>
</file>