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版本号：SXXZ-CS-20250700220250805001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陕西省重点产业关键核心技术专利资源库建设项目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SXXZ-CS-202507002</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陕西省重点产业关键核心技术专利资源库建设项目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SXXZ-CS-202507002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陕西省重点产业关键核心技术专利资源库建设项目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聚焦陕西省知识产权保护中心快速预审受理的授权专利，以及挖掘具有授权前景的专利，建立一套评价标准体系，从中筛选一批关键核心技术专利，建设重点产业关键核心技术专利资源库，并进行路演推介，为加速科技成果转化落地提供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采购包1（陕西省重点产业关键核心技术专利资源库建设项目）：属于专门面向中小企业采购。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最低收取8000元整，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聚焦陕西省知识产权保护中心快速预审受理的授权专利，以及挖掘具有授权前景的专利，建立一套评价标准体系，从中筛选一批关键核心技术专利，建设重点产业关键核心技术专利资源库，并进行路演推介，为加速科技成果转化落地提供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388,000.00</w:t>
      </w:r>
    </w:p>
    <w:p>
      <w:pPr>
        <w:pStyle w:val="null3"/>
      </w:pPr>
      <w:r>
        <w:rPr>
          <w:rFonts w:ascii="仿宋_GB2312" w:hAnsi="仿宋_GB2312" w:cs="仿宋_GB2312" w:eastAsia="仿宋_GB2312"/>
        </w:rPr>
        <w:t>采购包最高限价（元）: 388,000.00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陕西省重点产业关键核心技术专利资源库建设项目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标的名称：陕西省重点产业关键核心技术专利资源库建设项目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（一）项目内容</w:t>
            </w:r>
          </w:p>
          <w:p>
            <w:pPr>
              <w:pStyle w:val="null3"/>
              <w:ind w:firstLine="480"/>
              <w:jc w:val="left"/>
            </w:pPr>
            <w:r>
              <w:rPr>
                <w:rFonts w:ascii="仿宋_GB2312" w:hAnsi="仿宋_GB2312" w:cs="仿宋_GB2312" w:eastAsia="仿宋_GB2312"/>
                <w:sz w:val="24"/>
              </w:rPr>
              <w:t>聚焦陕西省知识产权保护中心快速预审受理的授权专利，以及挖掘具有授权前景的专利，建立一套评价标准体系，从中筛选一批关键核心技术专利，建设重点产业关键核心技术专利资源库，并进行路演推介，为加速科技成果转化落地提供服务。</w:t>
            </w:r>
          </w:p>
          <w:p>
            <w:pPr>
              <w:pStyle w:val="null3"/>
              <w:ind w:firstLine="480"/>
              <w:jc w:val="left"/>
            </w:pPr>
            <w:r>
              <w:rPr>
                <w:rFonts w:ascii="仿宋_GB2312" w:hAnsi="仿宋_GB2312" w:cs="仿宋_GB2312" w:eastAsia="仿宋_GB2312"/>
                <w:sz w:val="24"/>
              </w:rPr>
              <w:t>（二）预期目标（成果）</w:t>
            </w:r>
          </w:p>
          <w:p>
            <w:pPr>
              <w:pStyle w:val="null3"/>
              <w:ind w:firstLine="480"/>
              <w:jc w:val="left"/>
            </w:pPr>
            <w:r>
              <w:rPr>
                <w:rFonts w:ascii="仿宋_GB2312" w:hAnsi="仿宋_GB2312" w:cs="仿宋_GB2312" w:eastAsia="仿宋_GB2312"/>
                <w:sz w:val="24"/>
              </w:rPr>
              <w:t>1.形成一套评价标准体系，梳理并完成重点产业关键核心技术专利评价方法及评价过程报告。</w:t>
            </w:r>
          </w:p>
          <w:p>
            <w:pPr>
              <w:pStyle w:val="null3"/>
              <w:ind w:firstLine="480"/>
              <w:jc w:val="left"/>
            </w:pPr>
            <w:r>
              <w:rPr>
                <w:rFonts w:ascii="仿宋_GB2312" w:hAnsi="仿宋_GB2312" w:cs="仿宋_GB2312" w:eastAsia="仿宋_GB2312"/>
                <w:sz w:val="24"/>
              </w:rPr>
              <w:t>2.遴选具备转化前景的重点产业关键核心技术专利，并进行发布和推广，提供计划辅导，形成服务案例。</w:t>
            </w:r>
          </w:p>
          <w:p>
            <w:pPr>
              <w:pStyle w:val="null3"/>
              <w:ind w:firstLine="480"/>
              <w:jc w:val="left"/>
            </w:pPr>
            <w:r>
              <w:rPr>
                <w:rFonts w:ascii="仿宋_GB2312" w:hAnsi="仿宋_GB2312" w:cs="仿宋_GB2312" w:eastAsia="仿宋_GB2312"/>
                <w:sz w:val="24"/>
              </w:rPr>
              <w:t>3.完成陕西省重点产业关键核心技术专利资源库建设项目成效报告。</w:t>
            </w:r>
          </w:p>
          <w:p>
            <w:pPr>
              <w:pStyle w:val="null3"/>
              <w:jc w:val="left"/>
            </w:pPr>
            <w:r>
              <w:rPr>
                <w:rFonts w:ascii="仿宋_GB2312" w:hAnsi="仿宋_GB2312" w:cs="仿宋_GB2312" w:eastAsia="仿宋_GB2312"/>
                <w:sz w:val="24"/>
              </w:rPr>
              <w:t>项目要求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质量要求</w:t>
            </w:r>
          </w:p>
          <w:p>
            <w:pPr>
              <w:pStyle w:val="null3"/>
              <w:ind w:firstLine="480"/>
              <w:jc w:val="left"/>
            </w:pPr>
            <w:r>
              <w:rPr>
                <w:rFonts w:ascii="仿宋_GB2312" w:hAnsi="仿宋_GB2312" w:cs="仿宋_GB2312" w:eastAsia="仿宋_GB2312"/>
                <w:sz w:val="24"/>
              </w:rPr>
              <w:t>供应商具有成熟的专利转移评价标准和方法。</w:t>
            </w:r>
          </w:p>
          <w:p>
            <w:pPr>
              <w:pStyle w:val="null3"/>
              <w:ind w:firstLine="480"/>
              <w:jc w:val="left"/>
            </w:pPr>
            <w:r>
              <w:rPr>
                <w:rFonts w:ascii="仿宋_GB2312" w:hAnsi="仿宋_GB2312" w:cs="仿宋_GB2312" w:eastAsia="仿宋_GB2312"/>
                <w:sz w:val="24"/>
              </w:rPr>
              <w:t>2.时限要求</w:t>
            </w:r>
          </w:p>
          <w:p>
            <w:pPr>
              <w:pStyle w:val="null3"/>
              <w:jc w:val="both"/>
            </w:pPr>
            <w:r>
              <w:rPr>
                <w:rFonts w:ascii="仿宋_GB2312" w:hAnsi="仿宋_GB2312" w:cs="仿宋_GB2312" w:eastAsia="仿宋_GB2312"/>
                <w:sz w:val="24"/>
              </w:rPr>
              <w:t>2025年11月30日前完成</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1.形成一套评价标准体系，梳理并完成重点产业关键核心技术专利评价方法及评价过程报告。 2.遴选具备转化前景的重点产业关键核心技术专利，并进行发布和推广，提供计划辅导，形成服务案例。 3.完成陕西省重点产业关键核心技术专利资源库建设项目成效报告。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服务期限为合同签订后至2025年11月30日前完成。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合同签订后，达到付款条件起30日内，支付合同总金额的80.00%。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 ，达到付款条件起30日内，支付合同总金额的20.00%。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[4-5]分，较好：[2-4）分，一般：[1-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重点、难点分析清晰合理，重点把控准确，难点解决思路明确，解决计划可行性强，得[7-10]分； 重点、难点分析清晰，重点明确，难点解决思路一般，解决计划有可行性，得[3-7）分； 重点、难点分析模糊，重点把控一般，难点解决思路模糊，解决计划可行性一般，得[1-3）分；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服务承诺详细完善、内容丰富、合理化建议可行性强，计[4-5]分。 服务承诺较完善、内容较完善，得计[2-4）分。 服务承诺简单，得[1-2）。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重点产业关键核心技术专利评价方法概述</w:t>
            </w:r>
          </w:p>
        </w:tc>
        <w:tc>
          <w:tcPr>
            <w:tcW w:type="dxa" w:w="2492"/>
          </w:tcPr>
          <w:p>
            <w:pPr>
              <w:pStyle w:val="null3"/>
            </w:pPr>
            <w:r>
              <w:rPr>
                <w:rFonts w:ascii="仿宋_GB2312" w:hAnsi="仿宋_GB2312" w:cs="仿宋_GB2312" w:eastAsia="仿宋_GB2312"/>
              </w:rPr>
              <w:t>对重点产业关键核心技术专利评价方法概述，评价体系构架合理、内容详细得计[3-5]分。 服务承诺简单，得[1-3）。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项目负责人资质及企业服务评价</w:t>
            </w:r>
          </w:p>
        </w:tc>
        <w:tc>
          <w:tcPr>
            <w:tcW w:type="dxa" w:w="2492"/>
          </w:tcPr>
          <w:p>
            <w:pPr>
              <w:pStyle w:val="null3"/>
            </w:pPr>
            <w:r>
              <w:rPr>
                <w:rFonts w:ascii="仿宋_GB2312" w:hAnsi="仿宋_GB2312" w:cs="仿宋_GB2312" w:eastAsia="仿宋_GB2312"/>
              </w:rPr>
              <w:t>1.项目负责人具备副高级以上职称且具备5年及以上知识产权专利代理行业经验，得5分。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服务团队：供应商提供针对本项目服务团队组织架构、人员构成、服务经验、服务能力等。 1.团队成员中包括硕士及以上学历人员，每人得2分，最高得6分；2.团队人员持有专利代理师资格证的，每人得1分，最高得4分；提供证明材料，未提供不得分。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2022年1月1日至投标截止日，有专利申请前评估、专利价值评估、BP辅导和项目路演组织、高价值专利成果挖掘、专利转化服务或其他类似产业领域分析项目业绩，每项业绩得2分，同一类业绩，最高得4分，最高得 20分；无业绩0分。 业绩以合同复印件为准。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详见附件：陕西省重点产业关键核心技术专利资源库建设项目合同范本.docx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