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版本号：SXLX25-02-063Z(F)20250814001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2025年学法用法考试项目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SXLX25-02-063Z(F)</w:t>
      </w:r>
      <w:r>
        <w:br/>
      </w:r>
      <w:r>
        <w:br/>
      </w:r>
      <w:r>
        <w:br/>
      </w:r>
    </w:p>
    <w:p>
      <w:pPr>
        <w:pStyle w:val="null3"/>
        <w:jc w:val="center"/>
        <w:outlineLvl w:val="2"/>
      </w:pPr>
      <w:r>
        <w:rPr>
          <w:rFonts w:ascii="仿宋_GB2312" w:hAnsi="仿宋_GB2312" w:cs="仿宋_GB2312" w:eastAsia="仿宋_GB2312"/>
          <w:sz w:val="28"/>
          <w:b/>
        </w:rPr>
        <w:t>省司法厅机关</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省司法厅机关</w:t>
      </w:r>
      <w:r>
        <w:rPr>
          <w:rFonts w:ascii="仿宋_GB2312" w:hAnsi="仿宋_GB2312" w:cs="仿宋_GB2312" w:eastAsia="仿宋_GB2312"/>
        </w:rPr>
        <w:t>委托，拟对</w:t>
      </w:r>
      <w:r>
        <w:rPr>
          <w:rFonts w:ascii="仿宋_GB2312" w:hAnsi="仿宋_GB2312" w:cs="仿宋_GB2312" w:eastAsia="仿宋_GB2312"/>
        </w:rPr>
        <w:t>2025年学法用法考试项目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SXLX25-02-063Z(F)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2025年学法用法考试项目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本项目为陕西省司法厅2025年学法用法考试项目 。拟举行2025年度全省领导干部党内法规和国家法律知识考试，其中101个省直机关及事业单位、1.8万余人参加法律知识考试，按照学法用法考试计划，需提供线上学法考试平台服务，其他单位若参加学法用法考试需自行付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采购包1（2025年学法用法考试项目）：属于专门面向中小企业采购。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省司法厅机关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029-87293217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陕西省西安市雁塔区雁翔路111号赛格·中京坊公寓A一单元二层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马彩霞、王小琼、任甜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开户名称：陕西隆信项目管理有限公司</w:t>
            </w:r>
          </w:p>
          <w:p>
            <w:pPr>
              <w:pStyle w:val="null3"/>
            </w:pPr>
            <w:r>
              <w:rPr>
                <w:rFonts w:ascii="仿宋_GB2312" w:hAnsi="仿宋_GB2312" w:cs="仿宋_GB2312" w:eastAsia="仿宋_GB2312"/>
              </w:rPr>
              <w:t>开户银行：招商银行股份有限公司西安大寨路支行</w:t>
            </w:r>
          </w:p>
          <w:p>
            <w:pPr>
              <w:pStyle w:val="null3"/>
            </w:pPr>
            <w:r>
              <w:rPr>
                <w:rFonts w:ascii="仿宋_GB2312" w:hAnsi="仿宋_GB2312" w:cs="仿宋_GB2312" w:eastAsia="仿宋_GB2312"/>
              </w:rPr>
              <w:t>银行账号：129904064810808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代理服务费收费标准：依据《国家发展改革委关于进一步放开建设项目专业服务价格的通知》（发改价格〔2015〕299号）文件规定标准计算收取8000元整。 请将采购代理服务费汇至下列指定账户： 开户名称：陕西隆信项目管理有限公司 开 户 行：招商银行股份有限公司西安土门支行 账 号：129904064810902 财务部电话：029-88489979-8501 注：此服务费应计入报价中，但不需要单独开列。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省司法厅机关</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省司法厅机关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省司法厅机关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联系人：马彩霞、王小琼、任甜</w:t>
      </w:r>
    </w:p>
    <w:p>
      <w:pPr>
        <w:pStyle w:val="null3"/>
      </w:pPr>
      <w:r>
        <w:rPr>
          <w:rFonts w:ascii="仿宋_GB2312" w:hAnsi="仿宋_GB2312" w:cs="仿宋_GB2312" w:eastAsia="仿宋_GB2312"/>
        </w:rPr>
        <w:t>联系电话： 029-88489979-8202</w:t>
      </w:r>
    </w:p>
    <w:p>
      <w:pPr>
        <w:pStyle w:val="null3"/>
      </w:pPr>
      <w:r>
        <w:rPr>
          <w:rFonts w:ascii="仿宋_GB2312" w:hAnsi="仿宋_GB2312" w:cs="仿宋_GB2312" w:eastAsia="仿宋_GB2312"/>
        </w:rPr>
        <w:t>地址：陕西省西安市雁塔区雁翔路111号赛格·中京坊公寓A一单元二层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司法厅2025年学法用法考试项目。拟举行2025年度全省领导干部党内法规和国家法律知识考试，其中101个省直机关及事业单位、1.8万余人参加法律知识考试，按照学法用法考试计划，需提供线上学法考试平台服务，其他单位若参加学法用法考试需自行付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学法用法考试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标的名称：学法用法考试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b/>
                <w:color w:val="000000"/>
              </w:rPr>
              <w:t>一、服务内容</w:t>
            </w:r>
          </w:p>
          <w:p>
            <w:pPr>
              <w:pStyle w:val="null3"/>
              <w:ind w:firstLine="420"/>
              <w:jc w:val="left"/>
            </w:pPr>
            <w:r>
              <w:rPr>
                <w:rFonts w:ascii="仿宋_GB2312" w:hAnsi="仿宋_GB2312" w:cs="仿宋_GB2312" w:eastAsia="仿宋_GB2312"/>
                <w:sz w:val="21"/>
                <w:color w:val="000000"/>
              </w:rPr>
              <w:t>陕西省司法厅</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年学法用法考试项目</w:t>
            </w:r>
            <w:r>
              <w:rPr>
                <w:rFonts w:ascii="仿宋_GB2312" w:hAnsi="仿宋_GB2312" w:cs="仿宋_GB2312" w:eastAsia="仿宋_GB2312"/>
                <w:sz w:val="21"/>
                <w:color w:val="000000"/>
              </w:rPr>
              <w:t>主要包含四部分：</w:t>
            </w:r>
          </w:p>
          <w:p>
            <w:pPr>
              <w:pStyle w:val="null3"/>
              <w:ind w:firstLine="420"/>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平台使用及数据维护</w:t>
            </w:r>
          </w:p>
          <w:p>
            <w:pPr>
              <w:pStyle w:val="null3"/>
              <w:ind w:left="31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学习方式</w:t>
            </w:r>
          </w:p>
          <w:p>
            <w:pPr>
              <w:pStyle w:val="null3"/>
              <w:ind w:left="315"/>
              <w:jc w:val="left"/>
            </w:pPr>
            <w:r>
              <w:rPr>
                <w:rFonts w:ascii="仿宋_GB2312" w:hAnsi="仿宋_GB2312" w:cs="仿宋_GB2312" w:eastAsia="仿宋_GB2312"/>
                <w:sz w:val="21"/>
                <w:color w:val="000000"/>
              </w:rPr>
              <w:t>①在线学习：用户可通过电脑端登录指定的学法用法平台，选择相应的学习课程进行在线学习。</w:t>
            </w:r>
          </w:p>
          <w:p>
            <w:pPr>
              <w:pStyle w:val="null3"/>
              <w:ind w:left="315"/>
              <w:jc w:val="left"/>
            </w:pPr>
            <w:r>
              <w:rPr>
                <w:rFonts w:ascii="仿宋_GB2312" w:hAnsi="仿宋_GB2312" w:cs="仿宋_GB2312" w:eastAsia="仿宋_GB2312"/>
                <w:sz w:val="21"/>
                <w:color w:val="000000"/>
              </w:rPr>
              <w:t>②移动端学习：支持通过手机客户端或</w:t>
            </w:r>
            <w:r>
              <w:rPr>
                <w:rFonts w:ascii="仿宋_GB2312" w:hAnsi="仿宋_GB2312" w:cs="仿宋_GB2312" w:eastAsia="仿宋_GB2312"/>
                <w:sz w:val="21"/>
                <w:color w:val="000000"/>
              </w:rPr>
              <w:t>登录微信小程序</w:t>
            </w:r>
            <w:r>
              <w:rPr>
                <w:rFonts w:ascii="仿宋_GB2312" w:hAnsi="仿宋_GB2312" w:cs="仿宋_GB2312" w:eastAsia="仿宋_GB2312"/>
                <w:sz w:val="21"/>
                <w:color w:val="000000"/>
              </w:rPr>
              <w:t>进行学习，方便用户随时随地开展学习。</w:t>
            </w:r>
          </w:p>
          <w:p>
            <w:pPr>
              <w:pStyle w:val="null3"/>
              <w:ind w:left="315"/>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考试方式</w:t>
            </w:r>
          </w:p>
          <w:p>
            <w:pPr>
              <w:pStyle w:val="null3"/>
              <w:ind w:left="315"/>
              <w:jc w:val="left"/>
            </w:pPr>
            <w:r>
              <w:rPr>
                <w:rFonts w:ascii="仿宋_GB2312" w:hAnsi="仿宋_GB2312" w:cs="仿宋_GB2312" w:eastAsia="仿宋_GB2312"/>
                <w:sz w:val="21"/>
                <w:color w:val="000000"/>
              </w:rPr>
              <w:t>①网络在线考试：考试采用网络在线形式，题目从题库中随机抽取，题型包括单项选择题、多项选择题和判断题等。能够支持千万级学员在线、百万级考生同时考试，并即时显示考试成绩。</w:t>
            </w:r>
          </w:p>
          <w:p>
            <w:pPr>
              <w:pStyle w:val="null3"/>
              <w:ind w:left="315"/>
              <w:jc w:val="left"/>
            </w:pPr>
            <w:r>
              <w:rPr>
                <w:rFonts w:ascii="仿宋_GB2312" w:hAnsi="仿宋_GB2312" w:cs="仿宋_GB2312" w:eastAsia="仿宋_GB2312"/>
                <w:sz w:val="21"/>
                <w:color w:val="000000"/>
              </w:rPr>
              <w:t>②考试流程应简洁高效，减少用户操作步骤，提高考试效率。</w:t>
            </w:r>
          </w:p>
          <w:p>
            <w:pPr>
              <w:pStyle w:val="null3"/>
              <w:ind w:left="315"/>
              <w:jc w:val="left"/>
            </w:pPr>
            <w:r>
              <w:rPr>
                <w:rFonts w:ascii="仿宋_GB2312" w:hAnsi="仿宋_GB2312" w:cs="仿宋_GB2312" w:eastAsia="仿宋_GB2312"/>
                <w:sz w:val="21"/>
                <w:color w:val="000000"/>
              </w:rPr>
              <w:t>③考试期间，平台应设立专门的服务热线或电子邮箱，解答用户在学习和考试过程中遇到的问题。</w:t>
            </w:r>
          </w:p>
          <w:p>
            <w:pPr>
              <w:pStyle w:val="null3"/>
              <w:ind w:left="315"/>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数据维护</w:t>
            </w:r>
          </w:p>
          <w:p>
            <w:pPr>
              <w:pStyle w:val="null3"/>
              <w:ind w:left="315"/>
              <w:jc w:val="left"/>
            </w:pPr>
            <w:r>
              <w:rPr>
                <w:rFonts w:ascii="仿宋_GB2312" w:hAnsi="仿宋_GB2312" w:cs="仿宋_GB2312" w:eastAsia="仿宋_GB2312"/>
                <w:sz w:val="21"/>
                <w:color w:val="000000"/>
              </w:rPr>
              <w:t>①考试数据（包括考生信息、试题、答题数据等）在存储和传输过程中应进行加密处理，防止数据泄露。</w:t>
            </w:r>
          </w:p>
          <w:p>
            <w:pPr>
              <w:pStyle w:val="null3"/>
              <w:ind w:left="315"/>
              <w:jc w:val="left"/>
            </w:pPr>
            <w:r>
              <w:rPr>
                <w:rFonts w:ascii="仿宋_GB2312" w:hAnsi="仿宋_GB2312" w:cs="仿宋_GB2312" w:eastAsia="仿宋_GB2312"/>
                <w:sz w:val="21"/>
                <w:color w:val="000000"/>
              </w:rPr>
              <w:t>② 严格限制对考试数据的访问权限，只有授权人员才能访问相关数据。访问控制应基于角色和权限管理，确保数据的安全性。</w:t>
            </w:r>
          </w:p>
          <w:p>
            <w:pPr>
              <w:pStyle w:val="null3"/>
              <w:ind w:left="315"/>
              <w:jc w:val="left"/>
            </w:pPr>
            <w:r>
              <w:rPr>
                <w:rFonts w:ascii="仿宋_GB2312" w:hAnsi="仿宋_GB2312" w:cs="仿宋_GB2312" w:eastAsia="仿宋_GB2312"/>
                <w:sz w:val="21"/>
                <w:color w:val="000000"/>
              </w:rPr>
              <w:t>③定期对考试数据进行备份，并确保备份数据的安全存储。同时，应具备数据恢复能力，以应对数据丢失或损坏的情况。</w:t>
            </w:r>
          </w:p>
          <w:p>
            <w:pPr>
              <w:pStyle w:val="null3"/>
              <w:ind w:left="315"/>
              <w:jc w:val="left"/>
            </w:pPr>
            <w:r>
              <w:rPr>
                <w:rFonts w:ascii="仿宋_GB2312" w:hAnsi="仿宋_GB2312" w:cs="仿宋_GB2312" w:eastAsia="仿宋_GB2312"/>
                <w:sz w:val="21"/>
                <w:color w:val="000000"/>
              </w:rPr>
              <w:t>④对于跨地域的数据同步，应采用高效的数据传输技术，确保数据的实时性和准确性。</w:t>
            </w:r>
          </w:p>
          <w:p>
            <w:pPr>
              <w:pStyle w:val="null3"/>
              <w:ind w:left="315"/>
              <w:jc w:val="left"/>
            </w:pPr>
            <w:r>
              <w:rPr>
                <w:rFonts w:ascii="仿宋_GB2312" w:hAnsi="仿宋_GB2312" w:cs="仿宋_GB2312" w:eastAsia="仿宋_GB2312"/>
                <w:sz w:val="21"/>
                <w:color w:val="000000"/>
              </w:rPr>
              <w:t>⑤定期检查数据存储设备的运行状态，确保设备的正常运行，定期清理数据库中的冗余数据，优化数据库性能。</w:t>
            </w:r>
          </w:p>
          <w:p>
            <w:pPr>
              <w:pStyle w:val="null3"/>
              <w:ind w:left="315"/>
              <w:jc w:val="left"/>
            </w:pPr>
            <w:r>
              <w:rPr>
                <w:rFonts w:ascii="仿宋_GB2312" w:hAnsi="仿宋_GB2312" w:cs="仿宋_GB2312" w:eastAsia="仿宋_GB2312"/>
                <w:sz w:val="21"/>
                <w:color w:val="000000"/>
              </w:rPr>
              <w:t>⑥每月进行一次全面的数据备份和恢复测试，确保备份数据的可用性。</w:t>
            </w:r>
          </w:p>
          <w:p>
            <w:pPr>
              <w:pStyle w:val="null3"/>
              <w:ind w:left="315"/>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学法考试内容及考试题库建设制作</w:t>
            </w:r>
          </w:p>
          <w:tbl>
            <w:tblPr>
              <w:tblBorders>
                <w:top w:val="none" w:color="000000" w:sz="4"/>
                <w:left w:val="none" w:color="000000" w:sz="4"/>
                <w:bottom w:val="none" w:color="000000" w:sz="4"/>
                <w:right w:val="none" w:color="000000" w:sz="4"/>
                <w:insideH w:val="none"/>
                <w:insideV w:val="none"/>
              </w:tblBorders>
            </w:tblPr>
            <w:tblGrid>
              <w:gridCol w:w="342"/>
              <w:gridCol w:w="197"/>
              <w:gridCol w:w="953"/>
              <w:gridCol w:w="474"/>
              <w:gridCol w:w="320"/>
            </w:tblGrid>
            <w:tr>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项目名称</w:t>
                  </w:r>
                </w:p>
              </w:tc>
              <w:tc>
                <w:tcPr>
                  <w:tcW w:type="dxa" w:w="162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项目明细说明</w:t>
                  </w:r>
                </w:p>
              </w:tc>
              <w:tc>
                <w:tcPr>
                  <w:tcW w:type="dxa" w:w="3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342"/>
                  <w:vMerge w:val="restart"/>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课程</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747"/>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课程名称</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《中华人民共和国行政诉讼法</w:t>
                  </w:r>
                  <w:r>
                    <w:rPr>
                      <w:rFonts w:ascii="仿宋_GB2312" w:hAnsi="仿宋_GB2312" w:cs="仿宋_GB2312" w:eastAsia="仿宋_GB2312"/>
                      <w:sz w:val="21"/>
                      <w:color w:val="000000"/>
                    </w:rPr>
                    <w:t>(修正)》解读（上）</w:t>
                  </w:r>
                </w:p>
              </w:tc>
              <w:tc>
                <w:tcPr>
                  <w:tcW w:type="dxa" w:w="32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视频讲座</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《中华人民共和国行政诉讼法</w:t>
                  </w:r>
                  <w:r>
                    <w:rPr>
                      <w:rFonts w:ascii="仿宋_GB2312" w:hAnsi="仿宋_GB2312" w:cs="仿宋_GB2312" w:eastAsia="仿宋_GB2312"/>
                      <w:sz w:val="21"/>
                      <w:color w:val="000000"/>
                    </w:rPr>
                    <w:t>(修正)》解读（下）</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《中华人民共和国治安管理处罚法》解读</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《中华人民共和国突发事件应对法》解读（上）</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《中华人民共和国突发事件应对法》解读（下）</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《中华人民共和国行政强制法》解读（上）</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《中华人民共和国行政强制法》解读（下）</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《信息网络传播权的保护》（上）</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《信息网络传播权的保护》（下）</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普法动漫之权为民所用情为民所系利为民所谋</w:t>
                  </w:r>
                </w:p>
              </w:tc>
              <w:tc>
                <w:tcPr>
                  <w:tcW w:type="dxa" w:w="32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普法动漫</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普法动漫之没有法律就没有秩序请自觉遵守法律</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普法动漫之立党为公执政为民</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普法动漫之贯彻依法治国方略</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普法动漫之反腐倡廉执政为民</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十八大以来中央关于法治建设的重要论述</w:t>
                  </w:r>
                </w:p>
              </w:tc>
              <w:tc>
                <w:tcPr>
                  <w:tcW w:type="dxa" w:w="32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文字课程</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中国共产党第十九次全国代表大会报告关于民主法治建设的论述解读</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陕西省优化营商环境条例</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全面推进依法治国党员干部读本</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领导干部法治思维和法治方式</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党委</w:t>
                  </w:r>
                  <w:r>
                    <w:rPr>
                      <w:rFonts w:ascii="仿宋_GB2312" w:hAnsi="仿宋_GB2312" w:cs="仿宋_GB2312" w:eastAsia="仿宋_GB2312"/>
                      <w:sz w:val="21"/>
                      <w:color w:val="000000"/>
                    </w:rPr>
                    <w:t>(党组)理论学习中心组法治学习读本</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生态农业建设普法宣传册</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湿地保护普法宣传册</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森林生态资源保护普法宣传册</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土地资源保护普法宣传册</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水资源保护普法宣传册</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农村环境综合整治普法宣传册</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14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事业单位人员学法用法读本</w:t>
                  </w:r>
                </w:p>
              </w:tc>
            </w:tr>
            <w:tr>
              <w:tc>
                <w:tcPr>
                  <w:tcW w:type="dxa" w:w="342"/>
                  <w:vMerge/>
                  <w:tcBorders>
                    <w:top w:val="none" w:color="000000" w:sz="4"/>
                    <w:left w:val="single" w:color="000000" w:sz="4"/>
                    <w:bottom w:val="none" w:color="000000" w:sz="4"/>
                    <w:right w:val="non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427"/>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大气污染防治普法宣传册</w:t>
                  </w:r>
                </w:p>
              </w:tc>
            </w:tr>
            <w:tr>
              <w:tc>
                <w:tcPr>
                  <w:tcW w:type="dxa" w:w="34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题库</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9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行业名称</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32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共计</w:t>
                  </w:r>
                  <w:r>
                    <w:rPr>
                      <w:rFonts w:ascii="仿宋_GB2312" w:hAnsi="仿宋_GB2312" w:cs="仿宋_GB2312" w:eastAsia="仿宋_GB2312"/>
                      <w:sz w:val="21"/>
                      <w:color w:val="000000"/>
                    </w:rPr>
                    <w:t>5153道题</w:t>
                  </w: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审计</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广电</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应急管理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市场监管</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国防动员</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商务</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侨联</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监狱管理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退役军人</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妇联</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老干部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发展改革系统</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水利</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交通</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政协</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国资委国企</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知识产权</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人大</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自然资源</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统计</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民宗委</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银行</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军民融合</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红十字会</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测绘地理信息</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社科联</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林业</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法院</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科协</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司法行政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社会工作部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编办</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外办</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宣传部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统战部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档案系统</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教育</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海关</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残联</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卫生健康</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住建</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城市管理</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金融</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供销合作社</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纪委监委</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体育</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财政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农业农村</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网信系统</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科技</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总工会</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检察院</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组织部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政法委</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气象</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地震</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党委办</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工业和信息化</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公安</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文化和旅游</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共青团</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文物局</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台办</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机关工委</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民政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生态环境</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医疗保障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人社</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戒毒</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320"/>
                  <w:vMerge/>
                  <w:tcBorders>
                    <w:top w:val="single" w:color="000000" w:sz="4"/>
                    <w:left w:val="none" w:color="000000" w:sz="4"/>
                    <w:bottom w:val="single" w:color="000000" w:sz="4"/>
                    <w:right w:val="single" w:color="000000" w:sz="4"/>
                  </w:tcBorders>
                </w:tcPr>
                <w:p/>
              </w:tc>
            </w:tr>
            <w:tr>
              <w:tc>
                <w:tcPr>
                  <w:tcW w:type="dxa" w:w="342"/>
                  <w:vMerge/>
                  <w:tcBorders>
                    <w:top w:val="singl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公共部分（习主席法治思想、宪法、民法典、党章、优化营商环境条例）</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c>
                <w:tcPr>
                  <w:tcW w:type="dxa" w:w="320"/>
                  <w:vMerge/>
                  <w:tcBorders>
                    <w:top w:val="single" w:color="000000" w:sz="4"/>
                    <w:left w:val="none" w:color="000000" w:sz="4"/>
                    <w:bottom w:val="single" w:color="000000" w:sz="4"/>
                    <w:right w:val="single" w:color="000000" w:sz="4"/>
                  </w:tcBorders>
                </w:tcPr>
                <w:p/>
              </w:tc>
            </w:tr>
          </w:tbl>
          <w:p>
            <w:pPr>
              <w:pStyle w:val="null3"/>
              <w:ind w:firstLine="420"/>
              <w:jc w:val="left"/>
            </w:pPr>
            <w:r>
              <w:rPr>
                <w:rFonts w:ascii="仿宋_GB2312" w:hAnsi="仿宋_GB2312" w:cs="仿宋_GB2312" w:eastAsia="仿宋_GB2312"/>
                <w:sz w:val="21"/>
                <w:color w:val="000000"/>
              </w:rPr>
              <w:t>（三）平台观看学习视频流量及使用</w:t>
            </w:r>
          </w:p>
          <w:p>
            <w:pPr>
              <w:pStyle w:val="null3"/>
              <w:ind w:firstLine="420"/>
              <w:jc w:val="both"/>
            </w:pPr>
            <w:r>
              <w:rPr>
                <w:rFonts w:ascii="仿宋_GB2312" w:hAnsi="仿宋_GB2312" w:cs="仿宋_GB2312" w:eastAsia="仿宋_GB2312"/>
                <w:sz w:val="21"/>
              </w:rPr>
              <w:t>1.根据平台的用户规模、访问量和学习内容的大小，预估每月的流量使用量。</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2.定期分析流量使用数据，评估流量费用的合理性，调整流量管理策略。</w:t>
            </w:r>
          </w:p>
          <w:p>
            <w:pPr>
              <w:pStyle w:val="null3"/>
              <w:ind w:firstLine="420"/>
              <w:jc w:val="both"/>
            </w:pPr>
            <w:r>
              <w:rPr>
                <w:rFonts w:ascii="仿宋_GB2312" w:hAnsi="仿宋_GB2312" w:cs="仿宋_GB2312" w:eastAsia="仿宋_GB2312"/>
                <w:sz w:val="21"/>
              </w:rPr>
              <w:t>3.合理配置CDN，确保数据在离用户最近的节点缓存，减少回源流量。</w:t>
            </w:r>
          </w:p>
          <w:p>
            <w:pPr>
              <w:pStyle w:val="null3"/>
              <w:ind w:firstLine="420"/>
              <w:jc w:val="both"/>
            </w:pPr>
            <w:r>
              <w:rPr>
                <w:rFonts w:ascii="仿宋_GB2312" w:hAnsi="仿宋_GB2312" w:cs="仿宋_GB2312" w:eastAsia="仿宋_GB2312"/>
                <w:sz w:val="21"/>
              </w:rPr>
              <w:t>4.根据预算设置流量警戒线，当流量接近警戒线时，及时采取措施。</w:t>
            </w:r>
          </w:p>
          <w:p>
            <w:pPr>
              <w:pStyle w:val="null3"/>
              <w:ind w:firstLine="420"/>
              <w:jc w:val="left"/>
            </w:pPr>
            <w:r>
              <w:rPr>
                <w:rFonts w:ascii="仿宋_GB2312" w:hAnsi="仿宋_GB2312" w:cs="仿宋_GB2312" w:eastAsia="仿宋_GB2312"/>
                <w:sz w:val="21"/>
                <w:color w:val="000000"/>
              </w:rPr>
              <w:t>（四）平台运营</w:t>
            </w:r>
          </w:p>
          <w:p>
            <w:pPr>
              <w:pStyle w:val="null3"/>
              <w:ind w:firstLine="420"/>
              <w:jc w:val="both"/>
            </w:pPr>
            <w:r>
              <w:rPr>
                <w:rFonts w:ascii="仿宋_GB2312" w:hAnsi="仿宋_GB2312" w:cs="仿宋_GB2312" w:eastAsia="仿宋_GB2312"/>
                <w:sz w:val="21"/>
              </w:rPr>
              <w:t>1.组织专业客服团队为用户提供申请账号、申请发票、处理使用问题等服务，常驻人员</w:t>
            </w:r>
            <w:r>
              <w:rPr>
                <w:rFonts w:ascii="仿宋_GB2312" w:hAnsi="仿宋_GB2312" w:cs="仿宋_GB2312" w:eastAsia="仿宋_GB2312"/>
                <w:sz w:val="21"/>
              </w:rPr>
              <w:t>10</w:t>
            </w:r>
            <w:r>
              <w:rPr>
                <w:rFonts w:ascii="仿宋_GB2312" w:hAnsi="仿宋_GB2312" w:cs="仿宋_GB2312" w:eastAsia="仿宋_GB2312"/>
                <w:sz w:val="21"/>
              </w:rPr>
              <w:t>人（高峰时段适当增加客服人员）。</w:t>
            </w:r>
          </w:p>
          <w:p>
            <w:pPr>
              <w:pStyle w:val="null3"/>
              <w:ind w:firstLine="420"/>
              <w:jc w:val="both"/>
            </w:pPr>
            <w:r>
              <w:rPr>
                <w:rFonts w:ascii="仿宋_GB2312" w:hAnsi="仿宋_GB2312" w:cs="仿宋_GB2312" w:eastAsia="仿宋_GB2312"/>
                <w:sz w:val="21"/>
              </w:rPr>
              <w:t>2.各地区各单位可直接接入使用，无需另行投入研发技术和人员。在运营过程中，应确保平台的稳定性和安全性，及时解决可能出现的技术问题。</w:t>
            </w:r>
          </w:p>
          <w:p>
            <w:pPr>
              <w:pStyle w:val="null3"/>
              <w:ind w:firstLine="420"/>
              <w:jc w:val="both"/>
            </w:pPr>
            <w:r>
              <w:rPr>
                <w:rFonts w:ascii="仿宋_GB2312" w:hAnsi="仿宋_GB2312" w:cs="仿宋_GB2312" w:eastAsia="仿宋_GB2312"/>
                <w:sz w:val="21"/>
              </w:rPr>
              <w:t>3.平台的运营管理应配备专业的技术人员和客服人员，以提供技术支持和用户咨询解答服务。同时，平台应具备一定的用户操作引导功能，降低用户的学习成本。</w:t>
            </w:r>
          </w:p>
          <w:p>
            <w:pPr>
              <w:pStyle w:val="null3"/>
              <w:ind w:firstLine="420"/>
              <w:jc w:val="both"/>
            </w:pPr>
            <w:r>
              <w:rPr>
                <w:rFonts w:ascii="仿宋_GB2312" w:hAnsi="仿宋_GB2312" w:cs="仿宋_GB2312" w:eastAsia="仿宋_GB2312"/>
                <w:sz w:val="21"/>
              </w:rPr>
              <w:t>4.根据法律法规的变化和实际需求，及时更新学习内容和题库。确保学习资源的时效性和准确性，以满足不同用户的学习需求。</w:t>
            </w:r>
          </w:p>
          <w:p>
            <w:pPr>
              <w:pStyle w:val="null3"/>
              <w:ind w:firstLine="420"/>
              <w:jc w:val="both"/>
            </w:pPr>
            <w:r>
              <w:rPr>
                <w:rFonts w:ascii="仿宋_GB2312" w:hAnsi="仿宋_GB2312" w:cs="仿宋_GB2312" w:eastAsia="仿宋_GB2312"/>
                <w:sz w:val="21"/>
              </w:rPr>
              <w:t>5.严格遵守相关法律法规，保护学员的个人信息和考试数据的安全。采取有效的安全措施，防止数据泄露和非法访问。</w:t>
            </w:r>
          </w:p>
          <w:p>
            <w:pPr>
              <w:pStyle w:val="null3"/>
              <w:ind w:firstLine="420"/>
              <w:jc w:val="both"/>
            </w:pPr>
            <w:r>
              <w:rPr>
                <w:rFonts w:ascii="仿宋_GB2312" w:hAnsi="仿宋_GB2312" w:cs="仿宋_GB2312" w:eastAsia="仿宋_GB2312"/>
              </w:rPr>
              <w:t>二、</w:t>
            </w:r>
            <w:r>
              <w:rPr>
                <w:rFonts w:ascii="仿宋_GB2312" w:hAnsi="仿宋_GB2312" w:cs="仿宋_GB2312" w:eastAsia="仿宋_GB2312"/>
                <w:sz w:val="21"/>
                <w:b/>
                <w:color w:val="000000"/>
              </w:rPr>
              <w:t>本项目需要落实的政府采购政策：</w:t>
            </w:r>
          </w:p>
          <w:p>
            <w:pPr>
              <w:pStyle w:val="null3"/>
              <w:ind w:right="-195" w:firstLine="420"/>
              <w:jc w:val="left"/>
            </w:pPr>
            <w:r>
              <w:rPr>
                <w:rFonts w:ascii="仿宋_GB2312" w:hAnsi="仿宋_GB2312" w:cs="仿宋_GB2312" w:eastAsia="仿宋_GB2312"/>
                <w:sz w:val="21"/>
                <w:color w:val="000000"/>
              </w:rPr>
              <w:t>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w:t>
            </w:r>
          </w:p>
          <w:p>
            <w:pPr>
              <w:pStyle w:val="null3"/>
              <w:ind w:right="-195" w:firstLine="420"/>
              <w:jc w:val="left"/>
            </w:pPr>
            <w:r>
              <w:rPr>
                <w:rFonts w:ascii="仿宋_GB2312" w:hAnsi="仿宋_GB2312" w:cs="仿宋_GB2312" w:eastAsia="仿宋_GB2312"/>
                <w:sz w:val="21"/>
                <w:color w:val="000000"/>
              </w:rPr>
              <w:t>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pPr>
              <w:pStyle w:val="null3"/>
              <w:ind w:right="-195" w:firstLine="420"/>
              <w:jc w:val="left"/>
            </w:pPr>
            <w:r>
              <w:rPr>
                <w:rFonts w:ascii="仿宋_GB2312" w:hAnsi="仿宋_GB2312" w:cs="仿宋_GB2312" w:eastAsia="仿宋_GB2312"/>
                <w:sz w:val="21"/>
                <w:color w:val="000000"/>
              </w:rPr>
              <w:t>3、支持本国产业政策：《财政部关于印发&lt;进口产品管理办法&gt;的通知》（财库〔2007〕119号）；《财政部办公厅关于政府采购进口产品管理有关问题的通知》（财办库〔2008〕248号）。</w:t>
            </w:r>
          </w:p>
          <w:p>
            <w:pPr>
              <w:pStyle w:val="null3"/>
              <w:ind w:firstLine="420"/>
              <w:jc w:val="left"/>
            </w:pPr>
            <w:r>
              <w:rPr>
                <w:rFonts w:ascii="仿宋_GB2312" w:hAnsi="仿宋_GB2312" w:cs="仿宋_GB2312" w:eastAsia="仿宋_GB2312"/>
                <w:sz w:val="21"/>
                <w:color w:val="000000"/>
              </w:rPr>
              <w:t>4、支持创新等政府采购政策。</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1.数据维护人员应具备数据库管理、网络安全、数据加密等专业知识。 2.技术人员必须严格遵守数据保密规定，不得泄露任何考试数据。 3.技术人员应具备快速响应和处理数据异常的能力，确保平台的稳定运行。 4.平台客服人员应需具备良好的沟通能力，耐心解答问题，反应迅速，熟悉平台规则，能高效处理问题，常驻人员10人（高峰时段适当增加客服人员）。 5.法律法规课程的授课教师满足副高职称及以上的不少于3人。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根据采购内容匹配相关设备。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1.采购人根据磋商文件、合同等相关文件，进行验收，确认服务标准和服务方式是否达到采购要求。 2.采购人组织供应商进行验收，验收合格后，填写政府采购项目验收单作为对项目的最终认可。 3.供应商向采购人提供服务过程中的所有资料，以便采购人日后管理。 4.供应商违反合同任何一条即视为违约，承担由此造成的相应损失，采购人有权要求供应商赔偿由此造成的损失。</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响应文件2套，应通过专用制作软件直接打印，确保与电子投标文件保持一致，不允许修改和补充。提交地点：陕西省西安市雁塔区雁翔路111号赛格·中京坊公寓A一单元二层招标二部。 二、供应商的磋商报价是供应商响应磋商项目要求的全部工作内容的价格体现，包括供应商完成本项目所需的直接费、间接费、利润、税金及其他相关的一切费用。包括但不限于：包括人工费、设备费、检测费、管理费、验收费、采购代理服务费、利润和税金等全部费用。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2.评审过程中，除符合第1条规定情形外，若出现合格供应商少于3家时，采购人应依法重新组织采购活动。 五、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七、签名是指手写签名或者加盖名章(含电子签名或电子印章)，盖章是指加盖单位印章。 八、关于采购文件一次报价出现下列情况的，不需要供应商澄清，按以下原则处理： 1、报价中的大写金额和小写金额不一致的，以大写金额为准，但大写金额出现文字错误，导致金额无法判断的除外； 2、单价金额小数点或者百分比有明显错位的，应以总价为准，并修改单价； 3、总价金额与按单价汇总金额不一致的，以单价汇总金额计算结果为准。同时出现两种以上不一致的，按照前款规定的顺序修正。修正后的报价经加盖供应商(法定名称)电子印章后产生约束力，供应商不确认的，其报价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响应函</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法定代表人（单位负责人）参加磋商的，提供本人身份证复印件；法定代表人（单位负责人）授权他人参加磋商的，提供法定代表人（单位负责人）委托授权书及被授权代表的身份证复印件。</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参加本次磋商前3年内，在经营活动中没有重大违法记录的书面声明。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商务技术文件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响应文件上法定代表人（单位负责人）或其委托代理人的签名齐全并加盖单位公章。</w:t>
            </w:r>
          </w:p>
        </w:tc>
        <w:tc>
          <w:tcPr>
            <w:tcW w:type="dxa" w:w="1661"/>
          </w:tcPr>
          <w:p>
            <w:pPr>
              <w:pStyle w:val="null3"/>
            </w:pPr>
            <w:r>
              <w:rPr>
                <w:rFonts w:ascii="仿宋_GB2312" w:hAnsi="仿宋_GB2312" w:cs="仿宋_GB2312" w:eastAsia="仿宋_GB2312"/>
              </w:rPr>
              <w:t>响应文件封面 资格证明文件 商务技术文件 中小企业声明函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资格证明文件 商务技术文件 中小企业声明函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商务技术文件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资格证明文件 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商务技术文件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针对本项目服务内容及要求提供具体可行的服务方案，包括但不限于①平台使用及数据维护；②学法考试内容及考试题库建设制作；③平台观看学习视频流量及使用；④平台运营。 二、评审标准 1、完善性：方案必须全面，对评审内容中的各项要求有详细阐述； 2、可实施性：切合本项目实际情况，提出步骤清晰、合理的方案； 3、针对性：方案能够紧扣项目实际情况，内容科学合理。 三、赋分依据（满分36分） ①平台使用及数据维护：每完全满足一个评审标准得3分，满分9分； ②学法考试内容及考试题库建设制作：每完全满足一个评审标准得3分，满分9分； ③平台观看学习视频流量及使用：每完全满足一个评审标准3分，满分9分； ④平台运营：每完全满足一个评审标准得3分，满分9分。 未提供或不适用于本项目得0分。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服务质量控制措施及承诺</w:t>
            </w:r>
          </w:p>
        </w:tc>
        <w:tc>
          <w:tcPr>
            <w:tcW w:type="dxa" w:w="2492"/>
          </w:tcPr>
          <w:p>
            <w:pPr>
              <w:pStyle w:val="null3"/>
            </w:pPr>
            <w:r>
              <w:rPr>
                <w:rFonts w:ascii="仿宋_GB2312" w:hAnsi="仿宋_GB2312" w:cs="仿宋_GB2312" w:eastAsia="仿宋_GB2312"/>
              </w:rPr>
              <w:t>一、评审内容 针对本项目服务内容及要求提供具体可行的服务质量控制措施及承诺，包括但不限于①人员服务方案；②有利于本项目实施的服务承诺；③质量保证措施。 二、评审标准 1、完善性：方案必须全面，对评审内容中的各项要求有详细阐述； 2、可实施性：切合本项目实际情况，提出步骤清晰、合理的方案； 3、针对性：方案能够紧扣项目实际情况，内容科学合理。 三、赋分依据（满分9分） ①人员服务方案：每完全满足一个评审标准得1分，满分3分； ②有利于本项目实施的服务承诺：每完全满足一个评审标准得1分，满分3分； ③质量保证措施：每完全满足一个评审标准得1分，满分3分。 未提供或不适用于本项目得0分。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针对本项目提供具体可行的应急方案，包括但不限于①考试系统故障时的应急方案；②技术支持与保障；③安全与保密。 二、评审标准 1、完善性：方案必须全面，对评审内容中的各项要求有详细阐述； 2、可实施性：切合本项目实际情况，提出步骤清晰、合理的方案； 3、针对性：方案能够紧扣项目实际情况，内容科学合理。 三、赋分依据（满分18分） ①发生考试系统故障时的应急方案：每完全满足一个评审标准得2分，满分6分； ②技术支持与保障：每完全满足一个评审标准得2分，满分6分； ③安全与保密：每完全满足一个评审标准得2分，满分6分。 未提供或不适用于本项目得0分。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针对本项目供应商具有完善的服务保障体系。 方案详细具体、可行性高，得6分；方案基本齐全，具有一定的可行性，得3分；提供了相关内容，描述简单不具体或存在漏项，得1分。未提供或不适用于本项目得0分。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有明确的合理化建议。建议科学合理，对项目实施有实际指导意义的，得6分；建议基本科学合理，对项目实施有一定指导意义的，得3分；建议不够科学合理，对项目实施指导意义不明显的，得1分；未提供或不适用于本项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学习内容与题库更新能力</w:t>
            </w:r>
          </w:p>
        </w:tc>
        <w:tc>
          <w:tcPr>
            <w:tcW w:type="dxa" w:w="2492"/>
          </w:tcPr>
          <w:p>
            <w:pPr>
              <w:pStyle w:val="null3"/>
            </w:pPr>
            <w:r>
              <w:rPr>
                <w:rFonts w:ascii="仿宋_GB2312" w:hAnsi="仿宋_GB2312" w:cs="仿宋_GB2312" w:eastAsia="仿宋_GB2312"/>
              </w:rPr>
              <w:t>一、评审内容 针对本项目有高效的学习内容与题库更新能力。 提供非常完善且详细的更新计划，明确指出如何根据法律法规的变化和实际需求及时更新学习内容和题库，更新频率高，有明确的流程和机制保障学习资源的时效性和准确性，能够充分满足不同用户的学习需求的，得6分； 提供较为完善的更新计划，能够根据法律法规的变化和实际需求进行学习内容和题库的更新，更新频率合理，有一定措施保障学习资源的时效性和准确性，但部分细节仍有待完善的，得3分； 提供学习内容和题库更新计划，但计划不够完善，对法律法规变化及实际需求的响应能力不足，更新频率较低的，得1分； 未提供学习内容和题库更新计划，或计划明显不符合法律法规要求及实际需求的，得0分。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职称证明</w:t>
            </w:r>
          </w:p>
        </w:tc>
        <w:tc>
          <w:tcPr>
            <w:tcW w:type="dxa" w:w="2492"/>
          </w:tcPr>
          <w:p>
            <w:pPr>
              <w:pStyle w:val="null3"/>
            </w:pPr>
            <w:r>
              <w:rPr>
                <w:rFonts w:ascii="仿宋_GB2312" w:hAnsi="仿宋_GB2312" w:cs="仿宋_GB2312" w:eastAsia="仿宋_GB2312"/>
              </w:rPr>
              <w:t>法律法规课程的授课教师满足副高职称及以上的不少于3人的，得1分，每增加一个具有副高职称及以上的授课教师得0.5分，满分3分，未提供或提供人数少于3人的得0分。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提供2022年1月1日至今类似项目业绩（以合同签订日期为准），并提供合同复印件。提供一个有效业绩得2分，满分6分，未提供得0分。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以本次满足磋商文件要求的最后最低磋商报价为磋商基准价，其磋商报价为满分。供应商的磋商报价得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详见附件：商务技术文件</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