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版本号：ZD1125-010ZSA20250804001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2025年陕西省网络空间联合演习项目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ZD1125-010ZSA</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2025年陕西省网络空间联合演习项目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ZD1125-010ZSA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2025年陕西省网络空间联合演习项目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演习目标是联合多个重点行业对重点领域网络系统进行实网安全演习，项目内容主要包括通过开展网络攻防实战演习，聚焦找问题、查漏洞、补短板、强能力，切实保护重点行业、重点领域、重要信息系统数据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本次采购采取书面推荐邀请磋商的供应商。</w:t>
      </w:r>
    </w:p>
    <w:p>
      <w:pPr>
        <w:pStyle w:val="null3"/>
      </w:pPr>
      <w:r>
        <w:rPr>
          <w:rFonts w:ascii="仿宋_GB2312" w:hAnsi="仿宋_GB2312" w:cs="仿宋_GB2312" w:eastAsia="仿宋_GB2312"/>
        </w:rPr>
        <w:t xml:space="preserve"> 书面推荐：通过采购人和评审专家各自出具书面推荐意见，推荐符合相应资格条件的供应商参与本次采购活动；</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17719562805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代理服务费收费标准：（1）参照《招标代理服务收费管理暂行办法》的通知（计价格[2002]1980号）和《关于招标代理服务收费有关问题的通知》（发改办价格[2003]857号）的有关规定按标准收取。 （2）中标单位服务费交纳信息： 银行户名：正大方略工程咨询有限公司 开户银行：西安银行东二环南段支行 账 号：209011580000076430 （3）招标代理服务费可以采取现金、支票、银行汇票、电汇、网银等方式缴纳。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联系人：赵敏</w:t>
      </w:r>
    </w:p>
    <w:p>
      <w:pPr>
        <w:pStyle w:val="null3"/>
      </w:pPr>
      <w:r>
        <w:rPr>
          <w:rFonts w:ascii="仿宋_GB2312" w:hAnsi="仿宋_GB2312" w:cs="仿宋_GB2312" w:eastAsia="仿宋_GB2312"/>
        </w:rPr>
        <w:t>联系电话：17719562805</w:t>
      </w:r>
    </w:p>
    <w:p>
      <w:pPr>
        <w:pStyle w:val="null3"/>
      </w:pPr>
      <w:r>
        <w:rPr>
          <w:rFonts w:ascii="仿宋_GB2312" w:hAnsi="仿宋_GB2312" w:cs="仿宋_GB2312" w:eastAsia="仿宋_GB2312"/>
        </w:rPr>
        <w:t>地址：西安市雁塔区南二环东段22号（凯森盛世1号）A座26楼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演习目标是联合多个重点行业对重点领域网络系统进行实网安全演习，项目内容主要包括通过开展网络攻防实战演习，聚焦找问题、查漏洞、补短板、强能力，切实保护重点行业、重点领域、重要信息系统数据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2025年陕西省网络空间联合演习项目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标的名称：2025年陕西省网络空间联合演习项目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35" w:firstLine="203"/>
              <w:jc w:val="both"/>
            </w:pPr>
            <w:r>
              <w:rPr>
                <w:rFonts w:ascii="仿宋_GB2312" w:hAnsi="仿宋_GB2312" w:cs="仿宋_GB2312" w:eastAsia="仿宋_GB2312"/>
                <w:sz w:val="20"/>
                <w:b/>
              </w:rPr>
              <w:t>一、项目背景</w:t>
            </w:r>
          </w:p>
          <w:p>
            <w:pPr>
              <w:pStyle w:val="null3"/>
              <w:ind w:right="135" w:firstLine="202"/>
              <w:jc w:val="both"/>
            </w:pPr>
            <w:r>
              <w:rPr>
                <w:rFonts w:ascii="仿宋_GB2312" w:hAnsi="仿宋_GB2312" w:cs="仿宋_GB2312" w:eastAsia="仿宋_GB2312"/>
                <w:sz w:val="20"/>
              </w:rPr>
              <w:t>本次演习通过开展网络攻防实战演习，聚焦找问题、查漏洞、补短板、强能力，切实保护重点行业、重点领域、重要信息系统数据安全。一是及时发现消除重大网络安全问题隐患，全面提升网络安全整体防范能力水平；二是检验并提高重点单位、</w:t>
            </w:r>
            <w:r>
              <w:rPr>
                <w:rFonts w:ascii="仿宋_GB2312" w:hAnsi="仿宋_GB2312" w:cs="仿宋_GB2312" w:eastAsia="仿宋_GB2312"/>
                <w:sz w:val="20"/>
              </w:rPr>
              <w:t>国有企业</w:t>
            </w:r>
            <w:r>
              <w:rPr>
                <w:rFonts w:ascii="仿宋_GB2312" w:hAnsi="仿宋_GB2312" w:cs="仿宋_GB2312" w:eastAsia="仿宋_GB2312"/>
                <w:sz w:val="20"/>
              </w:rPr>
              <w:t>应对网络安全威胁的协调配合和应急处置能力；三是积累实战经验，有利于提升重点单位、国有企业在网络安全监测预警、调查取证、情报侦察、溯源反制等方面能力水平；四是健全完善网络安全综合防护体系，以攻促防、严密防范、有效应对来自外部的网络威胁，加强网络安全综合防范能力。</w:t>
            </w:r>
          </w:p>
          <w:p>
            <w:pPr>
              <w:pStyle w:val="null3"/>
              <w:ind w:right="135" w:firstLine="203"/>
              <w:jc w:val="both"/>
            </w:pPr>
            <w:r>
              <w:rPr>
                <w:rFonts w:ascii="仿宋_GB2312" w:hAnsi="仿宋_GB2312" w:cs="仿宋_GB2312" w:eastAsia="仿宋_GB2312"/>
                <w:sz w:val="20"/>
                <w:b/>
              </w:rPr>
              <w:t>二、项目建设内容</w:t>
            </w:r>
          </w:p>
          <w:p>
            <w:pPr>
              <w:pStyle w:val="null3"/>
              <w:ind w:right="135" w:firstLine="202"/>
              <w:jc w:val="both"/>
            </w:pPr>
            <w:r>
              <w:rPr>
                <w:rFonts w:ascii="仿宋_GB2312" w:hAnsi="仿宋_GB2312" w:cs="仿宋_GB2312" w:eastAsia="仿宋_GB2312"/>
                <w:sz w:val="20"/>
              </w:rPr>
              <w:t>本次演习目标是联合多个</w:t>
            </w:r>
            <w:r>
              <w:rPr>
                <w:rFonts w:ascii="仿宋_GB2312" w:hAnsi="仿宋_GB2312" w:cs="仿宋_GB2312" w:eastAsia="仿宋_GB2312"/>
                <w:sz w:val="20"/>
              </w:rPr>
              <w:t>重点</w:t>
            </w:r>
            <w:r>
              <w:rPr>
                <w:rFonts w:ascii="仿宋_GB2312" w:hAnsi="仿宋_GB2312" w:cs="仿宋_GB2312" w:eastAsia="仿宋_GB2312"/>
                <w:sz w:val="20"/>
              </w:rPr>
              <w:t>行业对重点领域网络系统进行实网安全演习。边演习、边发现、边整改问题隐患，能够增强各单位应对网络攻击威胁能力。其次是通过联合演习，检查各单位应对网络安全突发事件所需人力、物资、装备、技术等方面的准备情况，发现网络安全防护工作中的薄弱环节，通过本次演习，以总结宣传以促进联合演习参演单位增强网络安全意识、认清所面临的网络安全风险、完善网络安全</w:t>
            </w:r>
            <w:r>
              <w:rPr>
                <w:rFonts w:ascii="仿宋_GB2312" w:hAnsi="仿宋_GB2312" w:cs="仿宋_GB2312" w:eastAsia="仿宋_GB2312"/>
                <w:sz w:val="20"/>
              </w:rPr>
              <w:t>机制、</w:t>
            </w:r>
            <w:r>
              <w:rPr>
                <w:rFonts w:ascii="仿宋_GB2312" w:hAnsi="仿宋_GB2312" w:cs="仿宋_GB2312" w:eastAsia="仿宋_GB2312"/>
                <w:sz w:val="20"/>
              </w:rPr>
              <w:t>保障</w:t>
            </w:r>
            <w:r>
              <w:rPr>
                <w:rFonts w:ascii="仿宋_GB2312" w:hAnsi="仿宋_GB2312" w:cs="仿宋_GB2312" w:eastAsia="仿宋_GB2312"/>
                <w:sz w:val="20"/>
              </w:rPr>
              <w:t>和</w:t>
            </w:r>
            <w:r>
              <w:rPr>
                <w:rFonts w:ascii="仿宋_GB2312" w:hAnsi="仿宋_GB2312" w:cs="仿宋_GB2312" w:eastAsia="仿宋_GB2312"/>
                <w:sz w:val="20"/>
              </w:rPr>
              <w:t>应急体系等。项目包括内容如下</w:t>
            </w:r>
            <w:r>
              <w:rPr>
                <w:rFonts w:ascii="仿宋_GB2312" w:hAnsi="仿宋_GB2312" w:cs="仿宋_GB2312" w:eastAsia="仿宋_GB2312"/>
                <w:sz w:val="20"/>
              </w:rPr>
              <w:t>:</w:t>
            </w:r>
          </w:p>
          <w:p>
            <w:pPr>
              <w:pStyle w:val="null3"/>
              <w:ind w:right="135" w:firstLine="203"/>
              <w:jc w:val="both"/>
            </w:pPr>
            <w:r>
              <w:rPr>
                <w:rFonts w:ascii="仿宋_GB2312" w:hAnsi="仿宋_GB2312" w:cs="仿宋_GB2312" w:eastAsia="仿宋_GB2312"/>
                <w:sz w:val="20"/>
                <w:b/>
              </w:rPr>
              <w:t>1、技术支撑服务</w:t>
            </w:r>
          </w:p>
          <w:p>
            <w:pPr>
              <w:pStyle w:val="null3"/>
              <w:ind w:right="135" w:firstLine="202"/>
              <w:jc w:val="both"/>
            </w:pPr>
            <w:r>
              <w:rPr>
                <w:rFonts w:ascii="仿宋_GB2312" w:hAnsi="仿宋_GB2312" w:cs="仿宋_GB2312" w:eastAsia="仿宋_GB2312"/>
                <w:sz w:val="20"/>
              </w:rPr>
              <w:t>1）制定网络空间联合演习活动的整体方案、规则等，包括不限于以下内容：</w:t>
            </w:r>
          </w:p>
          <w:p>
            <w:pPr>
              <w:pStyle w:val="null3"/>
              <w:ind w:right="135" w:firstLine="202"/>
              <w:jc w:val="both"/>
            </w:pPr>
            <w:r>
              <w:rPr>
                <w:rFonts w:ascii="仿宋_GB2312" w:hAnsi="仿宋_GB2312" w:cs="仿宋_GB2312" w:eastAsia="仿宋_GB2312"/>
                <w:sz w:val="20"/>
              </w:rPr>
              <w:t xml:space="preserve"> </w:t>
            </w:r>
            <w:r>
              <w:rPr>
                <w:rFonts w:ascii="仿宋_GB2312" w:hAnsi="仿宋_GB2312" w:cs="仿宋_GB2312" w:eastAsia="仿宋_GB2312"/>
                <w:sz w:val="20"/>
              </w:rPr>
              <w:t>①明确联合演习组织方式、演习形式、组织架构、主办单位组织、攻击单位职责等；</w:t>
            </w:r>
          </w:p>
          <w:p>
            <w:pPr>
              <w:pStyle w:val="null3"/>
              <w:ind w:right="135" w:firstLine="202"/>
              <w:jc w:val="both"/>
            </w:pPr>
            <w:r>
              <w:rPr>
                <w:rFonts w:ascii="仿宋_GB2312" w:hAnsi="仿宋_GB2312" w:cs="仿宋_GB2312" w:eastAsia="仿宋_GB2312"/>
                <w:sz w:val="20"/>
              </w:rPr>
              <w:t xml:space="preserve"> </w:t>
            </w:r>
            <w:r>
              <w:rPr>
                <w:rFonts w:ascii="仿宋_GB2312" w:hAnsi="仿宋_GB2312" w:cs="仿宋_GB2312" w:eastAsia="仿宋_GB2312"/>
                <w:sz w:val="20"/>
              </w:rPr>
              <w:t>②明确攻击队伍组建方式、攻击规则、攻击时间、攻击靶标、攻击约束要求、评判方式、评判规则、以及对联合参演单位的防守约束机制、管理要求等。</w:t>
            </w:r>
          </w:p>
          <w:p>
            <w:pPr>
              <w:pStyle w:val="null3"/>
              <w:ind w:right="135" w:firstLine="202"/>
              <w:jc w:val="both"/>
            </w:pPr>
            <w:r>
              <w:rPr>
                <w:rFonts w:ascii="仿宋_GB2312" w:hAnsi="仿宋_GB2312" w:cs="仿宋_GB2312" w:eastAsia="仿宋_GB2312"/>
                <w:sz w:val="20"/>
              </w:rPr>
              <w:t>2）提供网络空间联合演习活动期间专家研判技术支持、演习平台技术保障、攻击过程监控、异常攻击阻断，风险管理以及针对各参演单位业务属性对攻击队伍在实施攻击过程中的技术指导，包括攻击场景策划、攻击方式、攻击过程中的风险控制等；</w:t>
            </w:r>
          </w:p>
          <w:p>
            <w:pPr>
              <w:pStyle w:val="null3"/>
              <w:ind w:right="135" w:firstLine="202"/>
              <w:jc w:val="both"/>
            </w:pPr>
            <w:r>
              <w:rPr>
                <w:rFonts w:ascii="仿宋_GB2312" w:hAnsi="仿宋_GB2312" w:cs="仿宋_GB2312" w:eastAsia="仿宋_GB2312"/>
                <w:sz w:val="20"/>
              </w:rPr>
              <w:t>3）针对不同的对象开展网络空间联合演习活动整体规则的宣贯培训，包括不限于组织架构职责、演习各项规则、演习各项要求等；</w:t>
            </w:r>
          </w:p>
          <w:p>
            <w:pPr>
              <w:pStyle w:val="null3"/>
              <w:ind w:right="135" w:firstLine="202"/>
              <w:jc w:val="both"/>
            </w:pPr>
            <w:r>
              <w:rPr>
                <w:rFonts w:ascii="仿宋_GB2312" w:hAnsi="仿宋_GB2312" w:cs="仿宋_GB2312" w:eastAsia="仿宋_GB2312"/>
                <w:sz w:val="20"/>
              </w:rPr>
              <w:t>4）</w:t>
            </w:r>
            <w:r>
              <w:rPr>
                <w:rFonts w:ascii="仿宋_GB2312" w:hAnsi="仿宋_GB2312" w:cs="仿宋_GB2312" w:eastAsia="仿宋_GB2312"/>
                <w:sz w:val="20"/>
              </w:rPr>
              <w:t>网络空间</w:t>
            </w:r>
            <w:r>
              <w:rPr>
                <w:rFonts w:ascii="仿宋_GB2312" w:hAnsi="仿宋_GB2312" w:cs="仿宋_GB2312" w:eastAsia="仿宋_GB2312"/>
                <w:sz w:val="20"/>
              </w:rPr>
              <w:t>联合演习活动结束后，按照复盘工作整体要求，提供相应的演习活动技术复盘工作指导，并提出相应工作建议；</w:t>
            </w:r>
          </w:p>
          <w:p>
            <w:pPr>
              <w:pStyle w:val="null3"/>
              <w:ind w:right="135" w:firstLine="202"/>
              <w:jc w:val="both"/>
            </w:pPr>
            <w:r>
              <w:rPr>
                <w:rFonts w:ascii="仿宋_GB2312" w:hAnsi="仿宋_GB2312" w:cs="仿宋_GB2312" w:eastAsia="仿宋_GB2312"/>
                <w:sz w:val="20"/>
              </w:rPr>
              <w:t>5）落实网络空间联合演习活动涉及的项目启动会、项目复盘会、以及按需开展的相关会议的议程制定、技术指导、组织开展等；</w:t>
            </w:r>
          </w:p>
          <w:p>
            <w:pPr>
              <w:pStyle w:val="null3"/>
              <w:ind w:right="135" w:firstLine="202"/>
              <w:jc w:val="both"/>
            </w:pPr>
            <w:r>
              <w:rPr>
                <w:rFonts w:ascii="仿宋_GB2312" w:hAnsi="仿宋_GB2312" w:cs="仿宋_GB2312" w:eastAsia="仿宋_GB2312"/>
                <w:sz w:val="20"/>
              </w:rPr>
              <w:t>6）对重点单位</w:t>
            </w:r>
            <w:r>
              <w:rPr>
                <w:rFonts w:ascii="仿宋_GB2312" w:hAnsi="仿宋_GB2312" w:cs="仿宋_GB2312" w:eastAsia="仿宋_GB2312"/>
                <w:sz w:val="20"/>
              </w:rPr>
              <w:t>、</w:t>
            </w:r>
            <w:r>
              <w:rPr>
                <w:rFonts w:ascii="仿宋_GB2312" w:hAnsi="仿宋_GB2312" w:cs="仿宋_GB2312" w:eastAsia="仿宋_GB2312"/>
                <w:sz w:val="20"/>
              </w:rPr>
              <w:t>国有企业</w:t>
            </w:r>
            <w:r>
              <w:rPr>
                <w:rFonts w:ascii="仿宋_GB2312" w:hAnsi="仿宋_GB2312" w:cs="仿宋_GB2312" w:eastAsia="仿宋_GB2312"/>
                <w:sz w:val="20"/>
              </w:rPr>
              <w:t>网络信息系统建设及安全防护情况建设情况进行调研摸底。调研内容、形式、结果包括不限于：网络信息系统建设情况及网络安全防护情况；现场调研、书面调研、技术手段等以及编写网络安全防护体系状况报告等。</w:t>
            </w:r>
          </w:p>
          <w:p>
            <w:pPr>
              <w:pStyle w:val="null3"/>
              <w:ind w:right="135" w:firstLine="203"/>
              <w:jc w:val="both"/>
            </w:pPr>
            <w:r>
              <w:rPr>
                <w:rFonts w:ascii="仿宋_GB2312" w:hAnsi="仿宋_GB2312" w:cs="仿宋_GB2312" w:eastAsia="仿宋_GB2312"/>
                <w:sz w:val="20"/>
                <w:b/>
              </w:rPr>
              <w:t>2、基础设施保障服务</w:t>
            </w:r>
          </w:p>
          <w:p>
            <w:pPr>
              <w:pStyle w:val="null3"/>
              <w:ind w:right="135" w:firstLine="202"/>
              <w:jc w:val="both"/>
            </w:pPr>
            <w:r>
              <w:rPr>
                <w:rFonts w:ascii="仿宋_GB2312" w:hAnsi="仿宋_GB2312" w:cs="仿宋_GB2312" w:eastAsia="仿宋_GB2312"/>
                <w:sz w:val="20"/>
              </w:rPr>
              <w:t>1）提供网络空间联合演习活动演习平台（要求</w:t>
            </w:r>
            <w:r>
              <w:rPr>
                <w:rFonts w:ascii="仿宋_GB2312" w:hAnsi="仿宋_GB2312" w:cs="仿宋_GB2312" w:eastAsia="仿宋_GB2312"/>
                <w:sz w:val="20"/>
              </w:rPr>
              <w:t>本地</w:t>
            </w:r>
            <w:r>
              <w:rPr>
                <w:rFonts w:ascii="仿宋_GB2312" w:hAnsi="仿宋_GB2312" w:cs="仿宋_GB2312" w:eastAsia="仿宋_GB2312"/>
                <w:sz w:val="20"/>
              </w:rPr>
              <w:t>SaaS</w:t>
            </w:r>
            <w:r>
              <w:rPr>
                <w:rFonts w:ascii="仿宋_GB2312" w:hAnsi="仿宋_GB2312" w:cs="仿宋_GB2312" w:eastAsia="仿宋_GB2312"/>
                <w:sz w:val="20"/>
              </w:rPr>
              <w:t>化</w:t>
            </w:r>
            <w:r>
              <w:rPr>
                <w:rFonts w:ascii="仿宋_GB2312" w:hAnsi="仿宋_GB2312" w:cs="仿宋_GB2312" w:eastAsia="仿宋_GB2312"/>
                <w:sz w:val="20"/>
              </w:rPr>
              <w:t>部署），并依据整体演习规则要求，开展演习平台的部署上线等。</w:t>
            </w:r>
            <w:r>
              <w:rPr>
                <w:rFonts w:ascii="仿宋_GB2312" w:hAnsi="仿宋_GB2312" w:cs="仿宋_GB2312" w:eastAsia="仿宋_GB2312"/>
                <w:sz w:val="21"/>
              </w:rPr>
              <w:t xml:space="preserve"> </w:t>
            </w:r>
          </w:p>
          <w:p>
            <w:pPr>
              <w:pStyle w:val="null3"/>
              <w:ind w:right="135" w:firstLine="202"/>
              <w:jc w:val="both"/>
            </w:pPr>
            <w:r>
              <w:rPr>
                <w:rFonts w:ascii="仿宋_GB2312" w:hAnsi="仿宋_GB2312" w:cs="仿宋_GB2312" w:eastAsia="仿宋_GB2312"/>
                <w:sz w:val="20"/>
              </w:rPr>
              <w:t>2）依据网络空间联合演习活动演习规模（参演单位、攻击队伍数量）等整体需求进行相关演习场地的设计与布置，包括不限于以下内容：</w:t>
            </w:r>
          </w:p>
          <w:p>
            <w:pPr>
              <w:pStyle w:val="null3"/>
              <w:ind w:right="135" w:firstLine="202"/>
              <w:jc w:val="both"/>
            </w:pPr>
            <w:r>
              <w:rPr>
                <w:rFonts w:ascii="仿宋_GB2312" w:hAnsi="仿宋_GB2312" w:cs="仿宋_GB2312" w:eastAsia="仿宋_GB2312"/>
                <w:sz w:val="20"/>
              </w:rPr>
              <w:t>①演习场地设计：围绕演习场景面积开展针对演习主区域、以及攻击队伍接入区、演习平台区、安全监测区、互联网接入、演习指挥区等区域进行综合设计与部署；</w:t>
            </w:r>
          </w:p>
          <w:p>
            <w:pPr>
              <w:pStyle w:val="null3"/>
              <w:ind w:right="135" w:firstLine="202"/>
              <w:jc w:val="both"/>
            </w:pPr>
            <w:r>
              <w:rPr>
                <w:rFonts w:ascii="仿宋_GB2312" w:hAnsi="仿宋_GB2312" w:cs="仿宋_GB2312" w:eastAsia="仿宋_GB2312"/>
                <w:sz w:val="20"/>
              </w:rPr>
              <w:t>②开展演习场地对强电环境（电力设施）和弱电环境需求（网络综合布线）的设计与部署；</w:t>
            </w:r>
          </w:p>
          <w:p>
            <w:pPr>
              <w:pStyle w:val="null3"/>
              <w:ind w:right="135" w:firstLine="202"/>
              <w:jc w:val="both"/>
            </w:pPr>
            <w:r>
              <w:rPr>
                <w:rFonts w:ascii="仿宋_GB2312" w:hAnsi="仿宋_GB2312" w:cs="仿宋_GB2312" w:eastAsia="仿宋_GB2312"/>
                <w:sz w:val="20"/>
              </w:rPr>
              <w:t>③建立在演习活动期间、满足各参演组织、参演单位、参演团队上下各级协调指挥联络机制。</w:t>
            </w:r>
          </w:p>
          <w:p>
            <w:pPr>
              <w:pStyle w:val="null3"/>
              <w:ind w:right="135" w:firstLine="202"/>
              <w:jc w:val="both"/>
            </w:pPr>
            <w:r>
              <w:rPr>
                <w:rFonts w:ascii="仿宋_GB2312" w:hAnsi="仿宋_GB2312" w:cs="仿宋_GB2312" w:eastAsia="仿宋_GB2312"/>
                <w:sz w:val="20"/>
              </w:rPr>
              <w:t>④攻击队伍需按联合演习要求配备计算机终端</w:t>
            </w:r>
            <w:r>
              <w:rPr>
                <w:rFonts w:ascii="仿宋_GB2312" w:hAnsi="仿宋_GB2312" w:cs="仿宋_GB2312" w:eastAsia="仿宋_GB2312"/>
                <w:sz w:val="20"/>
              </w:rPr>
              <w:t>，</w:t>
            </w:r>
            <w:r>
              <w:rPr>
                <w:rFonts w:ascii="仿宋_GB2312" w:hAnsi="仿宋_GB2312" w:cs="仿宋_GB2312" w:eastAsia="仿宋_GB2312"/>
                <w:sz w:val="20"/>
              </w:rPr>
              <w:t>并安装桌面管理系统、终端杀毒软件、登录演习平台</w:t>
            </w:r>
            <w:r>
              <w:rPr>
                <w:rFonts w:ascii="仿宋_GB2312" w:hAnsi="仿宋_GB2312" w:cs="仿宋_GB2312" w:eastAsia="仿宋_GB2312"/>
                <w:sz w:val="20"/>
              </w:rPr>
              <w:t>VPN通道APP软件等。</w:t>
            </w:r>
          </w:p>
          <w:p>
            <w:pPr>
              <w:pStyle w:val="null3"/>
              <w:ind w:right="135" w:firstLine="203"/>
              <w:jc w:val="both"/>
            </w:pPr>
            <w:r>
              <w:rPr>
                <w:rFonts w:ascii="仿宋_GB2312" w:hAnsi="仿宋_GB2312" w:cs="仿宋_GB2312" w:eastAsia="仿宋_GB2312"/>
                <w:sz w:val="20"/>
                <w:b/>
              </w:rPr>
              <w:t>3.演习实施服务</w:t>
            </w:r>
          </w:p>
          <w:p>
            <w:pPr>
              <w:pStyle w:val="null3"/>
              <w:ind w:right="135" w:firstLine="202"/>
              <w:jc w:val="both"/>
            </w:pPr>
            <w:r>
              <w:rPr>
                <w:rFonts w:ascii="仿宋_GB2312" w:hAnsi="仿宋_GB2312" w:cs="仿宋_GB2312" w:eastAsia="仿宋_GB2312"/>
                <w:sz w:val="20"/>
              </w:rPr>
              <w:t>针对各参演单位互联网系统应用，通过真实环境下的攻防演习方式进行攻击，目的是获得服务器的控制权限或者掌握敏感数据信息。方式包括但不限于漏洞扫描、渗透测试、</w:t>
            </w:r>
            <w:r>
              <w:rPr>
                <w:rFonts w:ascii="仿宋_GB2312" w:hAnsi="仿宋_GB2312" w:cs="仿宋_GB2312" w:eastAsia="仿宋_GB2312"/>
                <w:sz w:val="20"/>
              </w:rPr>
              <w:t>APT攻击、社会工程学等。通过攻防演习来发现安全防护中存在的问题，例如安全防护建设的问题、安全应急协同响应的问题、应急流程的问题等，作为安全防护改进的重要参考依据。具体工作实施内容包括不限于：</w:t>
            </w:r>
          </w:p>
          <w:p>
            <w:pPr>
              <w:pStyle w:val="null3"/>
              <w:ind w:right="135" w:firstLine="202"/>
              <w:jc w:val="both"/>
            </w:pPr>
            <w:r>
              <w:rPr>
                <w:rFonts w:ascii="仿宋_GB2312" w:hAnsi="仿宋_GB2312" w:cs="仿宋_GB2312" w:eastAsia="仿宋_GB2312"/>
                <w:sz w:val="20"/>
              </w:rPr>
              <w:t>①制定攻击组织计划和方案，确保攻击行为可管可控，能保证整个演习过程可控和可追溯；</w:t>
            </w:r>
          </w:p>
          <w:p>
            <w:pPr>
              <w:pStyle w:val="null3"/>
              <w:ind w:right="135" w:firstLine="202"/>
              <w:jc w:val="both"/>
            </w:pPr>
            <w:r>
              <w:rPr>
                <w:rFonts w:ascii="仿宋_GB2312" w:hAnsi="仿宋_GB2312" w:cs="仿宋_GB2312" w:eastAsia="仿宋_GB2312"/>
                <w:sz w:val="20"/>
              </w:rPr>
              <w:t>②模拟攻击行为时，通报攻击成功事件，记录详细的攻击报告；</w:t>
            </w:r>
          </w:p>
          <w:p>
            <w:pPr>
              <w:pStyle w:val="null3"/>
              <w:ind w:right="135" w:firstLine="202"/>
              <w:jc w:val="both"/>
            </w:pPr>
            <w:r>
              <w:rPr>
                <w:rFonts w:ascii="仿宋_GB2312" w:hAnsi="仿宋_GB2312" w:cs="仿宋_GB2312" w:eastAsia="仿宋_GB2312"/>
                <w:sz w:val="20"/>
              </w:rPr>
              <w:t>③联合演习结束后，输出演习活动总结报告等文档；</w:t>
            </w:r>
          </w:p>
          <w:p>
            <w:pPr>
              <w:pStyle w:val="null3"/>
              <w:ind w:right="135" w:firstLine="202"/>
              <w:jc w:val="both"/>
            </w:pPr>
            <w:r>
              <w:rPr>
                <w:rFonts w:ascii="仿宋_GB2312" w:hAnsi="仿宋_GB2312" w:cs="仿宋_GB2312" w:eastAsia="仿宋_GB2312"/>
                <w:sz w:val="20"/>
              </w:rPr>
              <w:t>④发现安全漏洞漏和隐患时，禁止对漏洞隐瞒不报，禁止对目标系统实施任何破坏性的操作。对目标系统关键区域进行操作时，必须得到演习指挥部批准，不得私自进行，不得在非指定时间进行。按照规定进行的相关攻击，对违规行为有权追究相关法律责任。</w:t>
            </w:r>
          </w:p>
          <w:p>
            <w:pPr>
              <w:pStyle w:val="null3"/>
              <w:ind w:right="135" w:firstLine="203"/>
              <w:jc w:val="both"/>
            </w:pPr>
            <w:r>
              <w:rPr>
                <w:rFonts w:ascii="仿宋_GB2312" w:hAnsi="仿宋_GB2312" w:cs="仿宋_GB2312" w:eastAsia="仿宋_GB2312"/>
                <w:sz w:val="20"/>
                <w:b/>
              </w:rPr>
              <w:t>4、演习会务</w:t>
            </w:r>
          </w:p>
          <w:p>
            <w:pPr>
              <w:pStyle w:val="null3"/>
              <w:ind w:right="135" w:firstLine="202"/>
              <w:jc w:val="both"/>
            </w:pPr>
            <w:r>
              <w:rPr>
                <w:rFonts w:ascii="仿宋_GB2312" w:hAnsi="仿宋_GB2312" w:cs="仿宋_GB2312" w:eastAsia="仿宋_GB2312"/>
                <w:sz w:val="20"/>
              </w:rPr>
              <w:t>负责开展网络空间联合演习活动整体的会务相关内容，包括不限于以下内容：演习场地、演习场景布置、主席台背景、引导牌、签到处、工牌、奖牌、服装、演习邀请函，以及演习期间的后勤保障（食宿）等。</w:t>
            </w:r>
          </w:p>
          <w:p>
            <w:pPr>
              <w:pStyle w:val="null3"/>
              <w:ind w:right="135" w:firstLine="203"/>
              <w:jc w:val="both"/>
            </w:pPr>
            <w:r>
              <w:rPr>
                <w:rFonts w:ascii="仿宋_GB2312" w:hAnsi="仿宋_GB2312" w:cs="仿宋_GB2312" w:eastAsia="仿宋_GB2312"/>
                <w:sz w:val="20"/>
                <w:b/>
              </w:rPr>
              <w:t>三、服务内容交付物</w:t>
            </w:r>
          </w:p>
          <w:p>
            <w:pPr>
              <w:pStyle w:val="null3"/>
              <w:spacing w:before="195"/>
              <w:ind w:left="480"/>
            </w:pPr>
            <w:r>
              <w:rPr>
                <w:rFonts w:ascii="仿宋_GB2312" w:hAnsi="仿宋_GB2312" w:cs="仿宋_GB2312" w:eastAsia="仿宋_GB2312"/>
                <w:sz w:val="20"/>
              </w:rPr>
              <w:t>网络空间联合演习项目交付物包含但不限于以下内容：</w:t>
            </w:r>
          </w:p>
          <w:p>
            <w:pPr>
              <w:pStyle w:val="null3"/>
              <w:numPr>
                <w:ilvl w:val="1"/>
                <w:numId w:val="1"/>
              </w:numPr>
            </w:pPr>
            <w:r>
              <w:rPr>
                <w:rFonts w:ascii="仿宋_GB2312" w:hAnsi="仿宋_GB2312" w:cs="仿宋_GB2312" w:eastAsia="仿宋_GB2312"/>
                <w:sz w:val="20"/>
              </w:rPr>
              <w:t>《演习整体方案》</w:t>
            </w:r>
          </w:p>
          <w:p>
            <w:pPr>
              <w:pStyle w:val="null3"/>
              <w:numPr>
                <w:ilvl w:val="1"/>
                <w:numId w:val="1"/>
              </w:numPr>
              <w:spacing w:before="165"/>
              <w:ind w:left="165"/>
            </w:pPr>
            <w:r>
              <w:rPr>
                <w:rFonts w:ascii="仿宋_GB2312" w:hAnsi="仿宋_GB2312" w:cs="仿宋_GB2312" w:eastAsia="仿宋_GB2312"/>
                <w:sz w:val="20"/>
              </w:rPr>
              <w:t>《演习实施方案》</w:t>
            </w:r>
          </w:p>
          <w:p>
            <w:pPr>
              <w:pStyle w:val="null3"/>
              <w:numPr>
                <w:ilvl w:val="1"/>
                <w:numId w:val="1"/>
              </w:numPr>
              <w:spacing w:before="165"/>
              <w:ind w:left="165"/>
            </w:pPr>
            <w:r>
              <w:rPr>
                <w:rFonts w:ascii="仿宋_GB2312" w:hAnsi="仿宋_GB2312" w:cs="仿宋_GB2312" w:eastAsia="仿宋_GB2312"/>
                <w:sz w:val="20"/>
              </w:rPr>
              <w:t>《演习场景布置方案》</w:t>
            </w:r>
          </w:p>
          <w:p>
            <w:pPr>
              <w:pStyle w:val="null3"/>
              <w:numPr>
                <w:ilvl w:val="1"/>
                <w:numId w:val="1"/>
              </w:numPr>
              <w:spacing w:before="165"/>
              <w:ind w:left="165"/>
            </w:pPr>
            <w:r>
              <w:rPr>
                <w:rFonts w:ascii="仿宋_GB2312" w:hAnsi="仿宋_GB2312" w:cs="仿宋_GB2312" w:eastAsia="仿宋_GB2312"/>
                <w:sz w:val="20"/>
              </w:rPr>
              <w:t>《演习攻击方成果报告》</w:t>
            </w:r>
          </w:p>
          <w:p>
            <w:pPr>
              <w:pStyle w:val="null3"/>
              <w:numPr>
                <w:ilvl w:val="1"/>
                <w:numId w:val="1"/>
              </w:numPr>
              <w:spacing w:before="165"/>
              <w:ind w:left="165"/>
            </w:pPr>
            <w:r>
              <w:rPr>
                <w:rFonts w:ascii="仿宋_GB2312" w:hAnsi="仿宋_GB2312" w:cs="仿宋_GB2312" w:eastAsia="仿宋_GB2312"/>
                <w:sz w:val="20"/>
              </w:rPr>
              <w:t>《演习专家研判记录表》</w:t>
            </w:r>
          </w:p>
          <w:p>
            <w:pPr>
              <w:pStyle w:val="null3"/>
              <w:numPr>
                <w:ilvl w:val="1"/>
                <w:numId w:val="1"/>
              </w:numPr>
              <w:spacing w:before="165"/>
              <w:ind w:left="165"/>
            </w:pPr>
            <w:r>
              <w:rPr>
                <w:rFonts w:ascii="仿宋_GB2312" w:hAnsi="仿宋_GB2312" w:cs="仿宋_GB2312" w:eastAsia="仿宋_GB2312"/>
                <w:sz w:val="20"/>
              </w:rPr>
              <w:t>《网络安全演习每日安全事件汇报》</w:t>
            </w:r>
          </w:p>
          <w:p>
            <w:pPr>
              <w:pStyle w:val="null3"/>
              <w:numPr>
                <w:ilvl w:val="1"/>
                <w:numId w:val="1"/>
              </w:numPr>
              <w:spacing w:before="165"/>
              <w:ind w:left="165"/>
            </w:pPr>
            <w:r>
              <w:rPr>
                <w:rFonts w:ascii="仿宋_GB2312" w:hAnsi="仿宋_GB2312" w:cs="仿宋_GB2312" w:eastAsia="仿宋_GB2312"/>
                <w:sz w:val="20"/>
              </w:rPr>
              <w:t>《网络安全演习问题汇总表》</w:t>
            </w:r>
          </w:p>
          <w:p>
            <w:pPr>
              <w:pStyle w:val="null3"/>
              <w:numPr>
                <w:ilvl w:val="1"/>
                <w:numId w:val="1"/>
              </w:numPr>
              <w:spacing w:before="165"/>
              <w:ind w:left="165"/>
            </w:pPr>
            <w:r>
              <w:rPr>
                <w:rFonts w:ascii="仿宋_GB2312" w:hAnsi="仿宋_GB2312" w:cs="仿宋_GB2312" w:eastAsia="仿宋_GB2312"/>
                <w:sz w:val="20"/>
              </w:rPr>
              <w:t>《网络安全演习攻击方法分析报告》</w:t>
            </w:r>
          </w:p>
          <w:p>
            <w:pPr>
              <w:pStyle w:val="null3"/>
              <w:numPr>
                <w:ilvl w:val="1"/>
                <w:numId w:val="1"/>
              </w:numPr>
              <w:spacing w:before="165"/>
              <w:ind w:left="165"/>
            </w:pPr>
            <w:r>
              <w:rPr>
                <w:rFonts w:ascii="仿宋_GB2312" w:hAnsi="仿宋_GB2312" w:cs="仿宋_GB2312" w:eastAsia="仿宋_GB2312"/>
                <w:sz w:val="20"/>
              </w:rPr>
              <w:t>《演习活动总结复盘报告》</w:t>
            </w:r>
          </w:p>
          <w:p>
            <w:pPr>
              <w:pStyle w:val="null3"/>
              <w:numPr>
                <w:ilvl w:val="1"/>
                <w:numId w:val="1"/>
              </w:numPr>
              <w:spacing w:before="165"/>
              <w:ind w:left="165"/>
            </w:pPr>
            <w:r>
              <w:rPr>
                <w:rFonts w:ascii="仿宋_GB2312" w:hAnsi="仿宋_GB2312" w:cs="仿宋_GB2312" w:eastAsia="仿宋_GB2312"/>
                <w:sz w:val="20"/>
              </w:rPr>
              <w:t>《演习活动总结汇报》</w:t>
            </w:r>
            <w:r>
              <w:rPr>
                <w:rFonts w:ascii="仿宋_GB2312" w:hAnsi="仿宋_GB2312" w:cs="仿宋_GB2312" w:eastAsia="仿宋_GB2312"/>
                <w:sz w:val="20"/>
              </w:rPr>
              <w:t>PPT</w:t>
            </w:r>
          </w:p>
          <w:p>
            <w:pPr>
              <w:pStyle w:val="null3"/>
              <w:numPr>
                <w:ilvl w:val="1"/>
                <w:numId w:val="1"/>
              </w:numPr>
              <w:spacing w:before="165"/>
              <w:ind w:left="165"/>
            </w:pPr>
            <w:r>
              <w:rPr>
                <w:rFonts w:ascii="仿宋_GB2312" w:hAnsi="仿宋_GB2312" w:cs="仿宋_GB2312" w:eastAsia="仿宋_GB2312"/>
                <w:sz w:val="20"/>
              </w:rPr>
              <w:t>演习视频等</w:t>
            </w:r>
            <w:r>
              <w:rPr>
                <w:rFonts w:ascii="仿宋_GB2312" w:hAnsi="仿宋_GB2312" w:cs="仿宋_GB2312" w:eastAsia="仿宋_GB2312"/>
                <w:sz w:val="20"/>
              </w:rPr>
              <w:t>其他</w:t>
            </w:r>
            <w:r>
              <w:rPr>
                <w:rFonts w:ascii="仿宋_GB2312" w:hAnsi="仿宋_GB2312" w:cs="仿宋_GB2312" w:eastAsia="仿宋_GB2312"/>
                <w:sz w:val="20"/>
              </w:rPr>
              <w:t>资料</w:t>
            </w:r>
          </w:p>
          <w:p>
            <w:pPr>
              <w:pStyle w:val="null3"/>
              <w:ind w:right="135" w:firstLine="203"/>
              <w:jc w:val="both"/>
            </w:pPr>
            <w:r>
              <w:rPr>
                <w:rFonts w:ascii="仿宋_GB2312" w:hAnsi="仿宋_GB2312" w:cs="仿宋_GB2312" w:eastAsia="仿宋_GB2312"/>
                <w:sz w:val="20"/>
                <w:b/>
              </w:rPr>
              <w:t>四、服务要求</w:t>
            </w:r>
          </w:p>
          <w:p>
            <w:pPr>
              <w:pStyle w:val="null3"/>
              <w:ind w:right="135" w:firstLine="203"/>
              <w:jc w:val="both"/>
            </w:pPr>
            <w:r>
              <w:rPr>
                <w:rFonts w:ascii="仿宋_GB2312" w:hAnsi="仿宋_GB2312" w:cs="仿宋_GB2312" w:eastAsia="仿宋_GB2312"/>
                <w:sz w:val="20"/>
                <w:b/>
              </w:rPr>
              <w:t>1、服务责任</w:t>
            </w:r>
          </w:p>
          <w:p>
            <w:pPr>
              <w:pStyle w:val="null3"/>
              <w:ind w:right="135" w:firstLine="202"/>
              <w:jc w:val="both"/>
            </w:pPr>
            <w:r>
              <w:rPr>
                <w:rFonts w:ascii="仿宋_GB2312" w:hAnsi="仿宋_GB2312" w:cs="仿宋_GB2312" w:eastAsia="仿宋_GB2312"/>
                <w:sz w:val="20"/>
              </w:rPr>
              <w:t>供应商需承诺完成本次网络安全演习项目所有的支撑工作；供应商需承诺接受最终用户的整体协调和管理。承诺提供攻防演习期间因各种原因新增以及变更的基础设施以及服务。</w:t>
            </w:r>
          </w:p>
          <w:p>
            <w:pPr>
              <w:pStyle w:val="null3"/>
              <w:ind w:right="135" w:firstLine="203"/>
              <w:jc w:val="both"/>
            </w:pPr>
            <w:r>
              <w:rPr>
                <w:rFonts w:ascii="仿宋_GB2312" w:hAnsi="仿宋_GB2312" w:cs="仿宋_GB2312" w:eastAsia="仿宋_GB2312"/>
                <w:sz w:val="20"/>
                <w:b/>
              </w:rPr>
              <w:t>2、服务人员要求</w:t>
            </w:r>
          </w:p>
          <w:p>
            <w:pPr>
              <w:pStyle w:val="null3"/>
              <w:ind w:right="135" w:firstLine="202"/>
              <w:jc w:val="both"/>
            </w:pPr>
            <w:r>
              <w:rPr>
                <w:rFonts w:ascii="仿宋_GB2312" w:hAnsi="仿宋_GB2312" w:cs="仿宋_GB2312" w:eastAsia="仿宋_GB2312"/>
                <w:sz w:val="20"/>
              </w:rPr>
              <w:t>供应商应围绕项目服务内容，成立合理的组织机构，配备满足项目实施内容要求的现场技术服务团队，以及后勤保障团队，确保项目各项内容的有效开展。</w:t>
            </w:r>
          </w:p>
          <w:p>
            <w:pPr>
              <w:pStyle w:val="null3"/>
              <w:ind w:right="135" w:firstLine="203"/>
              <w:jc w:val="both"/>
            </w:pPr>
            <w:r>
              <w:rPr>
                <w:rFonts w:ascii="仿宋_GB2312" w:hAnsi="仿宋_GB2312" w:cs="仿宋_GB2312" w:eastAsia="仿宋_GB2312"/>
                <w:sz w:val="20"/>
                <w:b/>
              </w:rPr>
              <w:t>3、服务时间以及服务方式</w:t>
            </w:r>
          </w:p>
          <w:p>
            <w:pPr>
              <w:pStyle w:val="null3"/>
              <w:ind w:right="135" w:firstLine="202"/>
              <w:jc w:val="both"/>
            </w:pPr>
            <w:r>
              <w:rPr>
                <w:rFonts w:ascii="仿宋_GB2312" w:hAnsi="仿宋_GB2312" w:cs="仿宋_GB2312" w:eastAsia="仿宋_GB2312"/>
                <w:sz w:val="20"/>
              </w:rPr>
              <w:t>服务时间：网络空间联合演习期间提供</w:t>
            </w:r>
            <w:r>
              <w:rPr>
                <w:rFonts w:ascii="仿宋_GB2312" w:hAnsi="仿宋_GB2312" w:cs="仿宋_GB2312" w:eastAsia="仿宋_GB2312"/>
                <w:sz w:val="20"/>
              </w:rPr>
              <w:t>7×8小时保障服务。在服务期内，以现场服务方式开展工作，后援支撑团队必须快速响应现场服务人员的相关需求，确保网络空间联合演习活动的顺利实施和开展。</w:t>
            </w:r>
          </w:p>
          <w:p>
            <w:pPr>
              <w:pStyle w:val="null3"/>
              <w:ind w:right="135" w:firstLine="202"/>
              <w:jc w:val="both"/>
            </w:pPr>
            <w:r>
              <w:rPr>
                <w:rFonts w:ascii="仿宋_GB2312" w:hAnsi="仿宋_GB2312" w:cs="仿宋_GB2312" w:eastAsia="仿宋_GB2312"/>
                <w:sz w:val="20"/>
              </w:rPr>
              <w:t>服务方式：现场服务</w:t>
            </w:r>
          </w:p>
          <w:p>
            <w:pPr>
              <w:pStyle w:val="null3"/>
              <w:ind w:right="135" w:firstLine="203"/>
              <w:jc w:val="both"/>
            </w:pPr>
            <w:r>
              <w:rPr>
                <w:rFonts w:ascii="仿宋_GB2312" w:hAnsi="仿宋_GB2312" w:cs="仿宋_GB2312" w:eastAsia="仿宋_GB2312"/>
                <w:sz w:val="20"/>
                <w:b/>
              </w:rPr>
              <w:t>4、应急响应要求</w:t>
            </w:r>
          </w:p>
          <w:p>
            <w:pPr>
              <w:pStyle w:val="null3"/>
              <w:ind w:right="135" w:firstLine="202"/>
              <w:jc w:val="both"/>
            </w:pPr>
            <w:r>
              <w:rPr>
                <w:rFonts w:ascii="仿宋_GB2312" w:hAnsi="仿宋_GB2312" w:cs="仿宋_GB2312" w:eastAsia="仿宋_GB2312"/>
                <w:sz w:val="20"/>
              </w:rPr>
              <w:t>当发生重大网络安全事件时，供应商须提供应急响应和现场处置服务，并对事件后续进行跟踪保障，须在投标方案中明确网络安全事件应急预案和响应时间等。应急预案包括应急组织，应急人员联络方式及应急处置方法和处理措施等。服务期间如发生应急事件，服务结束后应提交应急响应报告。</w:t>
            </w:r>
          </w:p>
          <w:p>
            <w:pPr>
              <w:pStyle w:val="null3"/>
              <w:ind w:right="135" w:firstLine="203"/>
              <w:jc w:val="both"/>
            </w:pPr>
            <w:r>
              <w:rPr>
                <w:rFonts w:ascii="仿宋_GB2312" w:hAnsi="仿宋_GB2312" w:cs="仿宋_GB2312" w:eastAsia="仿宋_GB2312"/>
                <w:sz w:val="20"/>
                <w:b/>
              </w:rPr>
              <w:t>5、可用性要求</w:t>
            </w:r>
          </w:p>
          <w:p>
            <w:pPr>
              <w:pStyle w:val="null3"/>
              <w:ind w:right="135" w:firstLine="202"/>
              <w:jc w:val="both"/>
            </w:pPr>
            <w:r>
              <w:rPr>
                <w:rFonts w:ascii="仿宋_GB2312" w:hAnsi="仿宋_GB2312" w:cs="仿宋_GB2312" w:eastAsia="仿宋_GB2312"/>
                <w:sz w:val="20"/>
              </w:rPr>
              <w:t>在网络空间联合演习期间，确保服务以及平台的可用性达到各系统可用性设计指标。</w:t>
            </w:r>
          </w:p>
          <w:p>
            <w:pPr>
              <w:pStyle w:val="null3"/>
              <w:ind w:right="135" w:firstLine="203"/>
              <w:jc w:val="both"/>
            </w:pPr>
            <w:r>
              <w:rPr>
                <w:rFonts w:ascii="仿宋_GB2312" w:hAnsi="仿宋_GB2312" w:cs="仿宋_GB2312" w:eastAsia="仿宋_GB2312"/>
                <w:sz w:val="20"/>
                <w:b/>
              </w:rPr>
              <w:t>6、安全与保密要求</w:t>
            </w:r>
          </w:p>
          <w:p>
            <w:pPr>
              <w:pStyle w:val="null3"/>
              <w:ind w:right="135" w:firstLine="202"/>
              <w:jc w:val="both"/>
            </w:pPr>
            <w:r>
              <w:rPr>
                <w:rFonts w:ascii="仿宋_GB2312" w:hAnsi="仿宋_GB2312" w:cs="仿宋_GB2312" w:eastAsia="仿宋_GB2312"/>
                <w:sz w:val="20"/>
              </w:rPr>
              <w:t>供应商需签订安全保密责任书，规定须履行的安全保密义务和承担的法律责任。现场实施人员不得向不承担同等保密义务的任何第三人披露关于该项目的任何商业秘密；不得留存非必要的参演单位的任何敏感信息。服务结束后，须对相关信息立即进行彻底清理与删除。</w:t>
            </w:r>
          </w:p>
          <w:p>
            <w:pPr>
              <w:pStyle w:val="null3"/>
              <w:ind w:right="135" w:firstLine="203"/>
              <w:jc w:val="both"/>
            </w:pPr>
            <w:r>
              <w:rPr>
                <w:rFonts w:ascii="仿宋_GB2312" w:hAnsi="仿宋_GB2312" w:cs="仿宋_GB2312" w:eastAsia="仿宋_GB2312"/>
                <w:sz w:val="20"/>
                <w:b/>
              </w:rPr>
              <w:t>7、服务质量要求</w:t>
            </w:r>
          </w:p>
          <w:p>
            <w:pPr>
              <w:pStyle w:val="null3"/>
              <w:ind w:right="135" w:firstLine="202"/>
              <w:jc w:val="both"/>
            </w:pPr>
            <w:r>
              <w:rPr>
                <w:rFonts w:ascii="仿宋_GB2312" w:hAnsi="仿宋_GB2312" w:cs="仿宋_GB2312" w:eastAsia="仿宋_GB2312"/>
                <w:sz w:val="20"/>
              </w:rPr>
              <w:t>为保证本项目能按时高质量顺利完成，规避项目风险或将风险降至最低程度。应制定项目质量管理预案，包括但不限于质量目标、质量指标、岗位责任、问题处理计划、质量评价、整改完善等内容，项目所有交付物均须通过审核，并按照项目管理质量要求进行完善后定版。</w:t>
            </w:r>
          </w:p>
          <w:p>
            <w:pPr>
              <w:pStyle w:val="null3"/>
              <w:ind w:right="135" w:firstLine="203"/>
              <w:jc w:val="both"/>
            </w:pPr>
            <w:r>
              <w:rPr>
                <w:rFonts w:ascii="仿宋_GB2312" w:hAnsi="仿宋_GB2312" w:cs="仿宋_GB2312" w:eastAsia="仿宋_GB2312"/>
                <w:sz w:val="20"/>
                <w:b/>
              </w:rPr>
              <w:t>8、安全培训要求</w:t>
            </w:r>
          </w:p>
          <w:p>
            <w:pPr>
              <w:pStyle w:val="null3"/>
              <w:ind w:right="135" w:firstLine="202"/>
              <w:jc w:val="both"/>
            </w:pPr>
            <w:r>
              <w:rPr>
                <w:rFonts w:ascii="仿宋_GB2312" w:hAnsi="仿宋_GB2312" w:cs="仿宋_GB2312" w:eastAsia="仿宋_GB2312"/>
                <w:sz w:val="20"/>
              </w:rPr>
              <w:t>制定数据安全相关培训计划，针对不同的对象开展网络空间联合演习活动整体规则的宣贯培训，培训内容包括：组织架构职责、演习各项规则、演习各项开展要求等。具体培训方式及内容根据实际情况商议为准。</w:t>
            </w:r>
          </w:p>
          <w:p>
            <w:pPr>
              <w:pStyle w:val="null3"/>
              <w:ind w:right="135" w:firstLine="203"/>
              <w:jc w:val="both"/>
            </w:pPr>
            <w:r>
              <w:rPr>
                <w:rFonts w:ascii="仿宋_GB2312" w:hAnsi="仿宋_GB2312" w:cs="仿宋_GB2312" w:eastAsia="仿宋_GB2312"/>
                <w:sz w:val="20"/>
                <w:b/>
              </w:rPr>
              <w:t>9、演习宣传要求</w:t>
            </w:r>
          </w:p>
          <w:p>
            <w:pPr>
              <w:pStyle w:val="null3"/>
              <w:ind w:right="135" w:firstLine="202"/>
              <w:jc w:val="both"/>
            </w:pPr>
            <w:r>
              <w:rPr>
                <w:rFonts w:ascii="仿宋_GB2312" w:hAnsi="仿宋_GB2312" w:cs="仿宋_GB2312" w:eastAsia="仿宋_GB2312"/>
                <w:sz w:val="20"/>
              </w:rPr>
              <w:t>提供演习全过程视频拍摄及制作，视频内容包含配音、字幕、视频裁剪、视频制作等，视频时长要求</w:t>
            </w:r>
            <w:r>
              <w:rPr>
                <w:rFonts w:ascii="仿宋_GB2312" w:hAnsi="仿宋_GB2312" w:cs="仿宋_GB2312" w:eastAsia="仿宋_GB2312"/>
                <w:sz w:val="20"/>
              </w:rPr>
              <w:t>5分钟以上。</w:t>
            </w:r>
          </w:p>
          <w:p>
            <w:pPr>
              <w:pStyle w:val="null3"/>
              <w:ind w:right="135" w:firstLine="203"/>
              <w:jc w:val="both"/>
            </w:pPr>
            <w:r>
              <w:rPr>
                <w:rFonts w:ascii="仿宋_GB2312" w:hAnsi="仿宋_GB2312" w:cs="仿宋_GB2312" w:eastAsia="仿宋_GB2312"/>
                <w:sz w:val="20"/>
                <w:b/>
              </w:rPr>
              <w:t>10、验收标准或规范：</w:t>
            </w:r>
          </w:p>
          <w:p>
            <w:pPr>
              <w:pStyle w:val="null3"/>
              <w:jc w:val="both"/>
            </w:pPr>
            <w:r>
              <w:rPr>
                <w:rFonts w:ascii="仿宋_GB2312" w:hAnsi="仿宋_GB2312" w:cs="仿宋_GB2312" w:eastAsia="仿宋_GB2312"/>
                <w:sz w:val="20"/>
              </w:rPr>
              <w:t>符合</w:t>
            </w:r>
            <w:r>
              <w:rPr>
                <w:rFonts w:ascii="仿宋_GB2312" w:hAnsi="仿宋_GB2312" w:cs="仿宋_GB2312" w:eastAsia="仿宋_GB2312"/>
                <w:sz w:val="20"/>
              </w:rPr>
              <w:t>国家、地方、行业相关合格标准及采购人要求</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围绕项目采购内容，应配备满足项目实施内容要求的现场技术服务团队，以及后勤保障团队，确保项目各项内容的有效开展。同时项目组主要成员需具有网络攻防或网络安全项目实施经验。满足网络空间联合演习活动整体要求。未经同意，项目实施过程中现场服务人员不得变动或随意离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供应商应该按照项目的需求配备合理的设备设施，确保项目实施质量</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（二）争议解决 1.在执行本合同中发生的或与本合同有关的争端，双方应通过友好协商解决，经协商在30天内不能达成协议时，则采取以下第1种方式解决争议： （1）向甲方所在地有管辖权的人民法院提起诉讼；（2）向____________仲裁委员会按其仲裁规则申请仲裁。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1.本项目采购标的所属行业为：软件和信息技术服务业。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成交供应商在领取成交通知书前，须向采购代理机构提供纸质版响应文件2套，且提供的响应文件必须与在陕西省政府采购综合管理平台的项目电子化交易系统中递交的电子投标文件内容一致，纸质版投标文件必须装订成册签字盖章。3.磋商文件中关于带“▲”内容的说明以此条内容为准：带“▲"号条款为允许偏离的参数，非“★"的参数均允许偏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的营业执照等证明文件，自然人的身份证明；（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招标前3年内，在经营活动中没有重大违法记录的书面声明；（6）供应商不得被“信用中国”网站（www.creditchina.gov.cn）和中国政府采购网站（www.ccgp.gov.cn）列入失信被执行人、重大税收违法案件当事人名单、政府采购严重违法失信行为记录名单（此项由采购代理机构现场查询）；（7）法定代表人（单位负责人）参加投标的，提供本人身份证复印件并出示身份证原件；法定代表人（单位负责人）授权他人参加投标的，提供法定代表人委托授权书并出示被授权代表的身份证。 供应商需在项目电子化交易系统中按要求上传相应证明文件，按要求填写《投标函》并进行电子签章。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提供2024年度经审计的供应商财务报告或者提供投标文件截止时间3个月内其基本账户开户银行出具的资信证明，供应商需在项目电子化交易系统中按要求上传相应证明文件。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符合磋商文件的规定。签名是指手写签名或者加盖名章，盖章是指加盖单位印章。</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符合电子化采购系统中响应文件格式的要求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针对本项目提出总体方案，方案包括：①服务计划；②整体服务思路、原则、特点的理解；③重难点分析。 二、评审标准 1、完整性：方案必须全面，对评审内容中的各项要求有详细描述； 2、可实施性：切合本项目实际情况，提出步骤清晰、合理的方案； 3、针对性：方案能够紧扣项目实际情况，内容科学合理。 三、赋分标准（满分9分） ①服务计划：此评审项满分3分，每完全满足一个评审标准得1分；针对每条评审标准，如存在不合理的方面，得0.5分；针对每条评审标准，方案内容与本项目无关或未提供的，得0分。 ②整体服务思路、原则、特点的理解：此评审项满分3分，每完全满足一个评审标准得1分；针对每条评审标准，如存在不合理的方面，得0.5分；针对每条评审标准，方案内容与本项目无关或未提供的，得0分。 ③重难点分析：此评审项满分3分，每完全满足一个评审标准得1分；针对每条评审标准，如存在不合理的方面，得0.5分；针对每条评审标准，方案内容与本项目无关或未提供的，得0分。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针对本项目的提供服务方案，方案包括：①技术支撑服务方案；②基础设施保障服务方案；③演习会务服务方案。 二、评审标准 1、完整性：方案必须全面，对评审内容中的各项要求有详细描述； 2、可实施性：切合本项目实际情况，提出步骤清晰、合理的方案； 3、针对性：方案能够紧扣项目实际情况，内容科学合理。 三、赋分标准（满分9分） ①技术支撑服务方案：此评审项满分3分，每完全满足一个评审标准得1分；针对每条评审标准，如存在不合理的方面，得0.5分；针对每条评审标准，方案内容与本项目无关或未提供的，得0分。 ②基础设施保障服务方案：此评审项满分3分，每完全满足一个评审标准得1分；针对每条评审标准，如存在不合理的方面，得0.5分；针对每条评审标准，方案内容与本项目无关或未提供的，得0分。 ③演习会务服务方案：此评审项满分3分，每完全满足一个评审标准得1分；针对每条评审标准，如存在不合理的方面，得0.5分；针对每条评审标准，方案内容与本项目无关或未提供的，得0分。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演习实施服务方案</w:t>
            </w:r>
          </w:p>
        </w:tc>
        <w:tc>
          <w:tcPr>
            <w:tcW w:type="dxa" w:w="2492"/>
          </w:tcPr>
          <w:p>
            <w:pPr>
              <w:pStyle w:val="null3"/>
            </w:pPr>
            <w:r>
              <w:rPr>
                <w:rFonts w:ascii="仿宋_GB2312" w:hAnsi="仿宋_GB2312" w:cs="仿宋_GB2312" w:eastAsia="仿宋_GB2312"/>
              </w:rPr>
              <w:t>一、评审内容 针对本项目服务内容提出演习实施服务具体的实施方案，方案包括：①演习攻击思路、整体实施计划；②攻击人员职责、范围、模式、手段、内容；③应急响应措施、成果总结汇报。 二、评审标准 1、完整性：方案必须全面，对评审内容中的各项要求有详细描述； 2、可实施性：切合本项目实际情况，提出步骤清晰、合理的方案； 3、针对性：方案能够紧扣项目实际情况，内容科学合理。 三、赋分标准（满分9分） ①演习攻击思路、整体实施计划：此评审项满分3分，每完全满足一个评审标准得1分；针对每条评审标准，如存在不合理的方面，得0.5分；针对每条评审标准，方案内容与本项目无关或未提供的，得0分。 ②攻击人员职责、范围、模式、手段、内容：此评审项满分3分，每完全满足一个评审标准得1分；针对每条评审标准，如存在不合理的方面，得0.5分；针对每条评审标准，方案内容与本项目无关或未提供的，得0分。 ③应急响应措施、成果总结汇报：此评审项满分3分，每完全满足一个评审标准得1分；针对每条评审标准，如存在不合理的方面，得0.5分；针对每条评审标准，方案内容与本项目无关或未提供的，得0分。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实施进度安排方案</w:t>
            </w:r>
          </w:p>
        </w:tc>
        <w:tc>
          <w:tcPr>
            <w:tcW w:type="dxa" w:w="2492"/>
          </w:tcPr>
          <w:p>
            <w:pPr>
              <w:pStyle w:val="null3"/>
            </w:pPr>
            <w:r>
              <w:rPr>
                <w:rFonts w:ascii="仿宋_GB2312" w:hAnsi="仿宋_GB2312" w:cs="仿宋_GB2312" w:eastAsia="仿宋_GB2312"/>
              </w:rPr>
              <w:t>一、评审内容 针对本项目服务内容提出实施进度安排方案。 二、评审标准 1、完整性：方案必须全面，对评审内容中的各项要求有详细描述； 2、可实施性：切合本项目实际情况，提出步骤清晰、合理的方案； 3、针对性：方案能够紧扣项目实际情况，内容科学合理。 三、赋分标准（满分3分） 实施进度安排方案：此评审项满分3分，每完全满足一个评审标准得1分；针对每条评审标准，如存在不合理的方面，得0.5分；针对每条评审标准，方案内容与本项目无关或未提供的，得0分。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根据本项目服务内容，提出多方面的保障措施，以确保项目顺利实施：①服务质量保障措施；②项目团队人员廉洁保障措施；③实战攻防，远程检测技术平台搭建的稳定性保障措施；④实战攻防安全可控的保障措施；⑤对本项目接触到的相关信息有具体的保密措施；⑥提供在风险控制（包括但不限于信息安全等）方面的保障措施。 二、评审标准 1、完整性：方案必须全面，对评审内容中的各项要求有详细描述； 2、可实施性：切合本项目实际情况，提出步骤清晰、合理的方案； 3、针对性：方案能够紧扣项目实际情况，内容科学合理。 二、赋分标准（满分18分） ①服务质量保障措施：此评审项满分3分，每完全满足一个评审标准得1分；针对每条评审标准，如存在不合理的方面，得0.5分；针对每条评审标准，措施内容与本项目无关或未提供的，得0分。 ②项目团队人员廉洁保障措施：此评审项满分3分，每完全满足一个评审标准得1分；针对每条评审标准，如存在不合理的方面，得0.5分；针对每条评审标准，措施内容与本项目无关或未提供的，得0分。 ③实战攻防，远程检测技术平台搭建的稳定性保障措施：此评审项满分3分，每完全满足一个评审标准得1分；针对每条评审标准，如存在不合理的方面，得0.5分；针对每条评审标准，措施内容与本项目无关或未提供的，得0分。 ④实战攻防安全可控的保障措施：此评审项满分3分，每完全满足一个评审标准得1分；针对每条评审标准，如存在不合理的方面，得0.5分；针对每条评审标准，措施内容与本项目无关或未提供的，得0分。 ⑤对本项目接触到的相关信息有具体的保密措施：此评审项满分3分，每完全满足一个评审标准得1分；针对每条评审标准，如存在不合理的方面，得0.5分；针对每条评审标准，措施内容与本项目无关或未提供的，得0分。 ⑥提供在风险控制（包括但不限于信息安全等）方面的保障措施：此评审项满分3分，每完全满足一个评审标准得1分；针对每条评审标准，如存在不合理的方面，得0.5分；针对每条评审标准，措施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资料汇总整理方案</w:t>
            </w:r>
          </w:p>
        </w:tc>
        <w:tc>
          <w:tcPr>
            <w:tcW w:type="dxa" w:w="2492"/>
          </w:tcPr>
          <w:p>
            <w:pPr>
              <w:pStyle w:val="null3"/>
            </w:pPr>
            <w:r>
              <w:rPr>
                <w:rFonts w:ascii="仿宋_GB2312" w:hAnsi="仿宋_GB2312" w:cs="仿宋_GB2312" w:eastAsia="仿宋_GB2312"/>
              </w:rPr>
              <w:t>一、评审内容 针对本项目服务内容提出资料汇总整理方案，方案包括①资料报告校对、检查方案；②相关成果报告的准确性保障方案。 二、评审标准 1、完整性：方案必须全面，对评审内容中的各项要求有详细描述； 2、可实施性：切合本项目实际情况，提出步骤清晰、合理的方案； 3、针对性：方案能够紧扣项目实际情况，内容科学合理。 三、赋分标准（满分6分） ①资料报告校对、检查方案：此评审项满分3分，每完全满足一个评审标准得1分；针对每条评审标准，如存在不合理的方面，得0.5分；针对每条评审标准，方案内容与本项目无关或未提供的，得0分。 ②相关成果报告的准确性保障方案：此评审项满分3分，每完全满足一个评审标准得1分；针对每条评审标准，如存在不合理的方面，得0.5分；针对每条评审标准，方案内容与本项目无关或未提供的，得0分。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针对本项目可能会出现的突发情况，有详细的可预见性的解决方案。 二、评审标准 1、完整性：方案必须全面，对评审内容中的各项要求有详细描述； 2、可实施性：切合本项目实际情况，提出步骤清晰、合理的方案； 3、针对性：方案能够紧扣项目实际情况，内容科学合理。 三、赋分标准（满分3分） 应急预案：此评审项满分3分，每完全满足一个评审标准得1分；针对每条评审标准，如存在不合理的方面，得0.5分；针对每条评审标准，方案内容与本项目无关或未提供的，得0分。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针对本项目服务内容提出合理化建议。 二、评审标准 1、完整性：方案必须全面，对评审内容中的各项要求有详细描述； 2、可实施性：切合本项目实际情况，提出步骤清晰、合理的方案； 3、针对性：方案能够紧扣项目实际情况，内容科学合理。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内部管理制度：具有管理组织机构、问责机制、监督机制、自查制度、服务管理制度、具有组织实施架构与项目管理体系等。 二、评审标准 1、完整性：方案必须全面，对评审内容中的各项要求有详细描述； 2、可实施性：切合本项目实际情况，提出步骤清晰、合理的方案； 3、针对性：方案能够紧扣项目实际情况，内容科学合理。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项目实施团队完备、人员配备合理，人员配备满足采购人项目需求。 拟投入本项目人员数量充足，专业人员配置齐全、针对性强、分工明确，能够满足采购人项目需求的得5分； 人员配备数量充足，专业人员配备能够基本满足项目实施需要，分工有一定的合理性，基本能满足项目需求的得4分；人员配备数量基本充足、专业人员配备能够基本满足项目实施需要，分工基本合理的得3分； 人员配备数量较充足、专业人员配备能够基本满足项目实施需要，但分工合理性较差的得2分； 人员配备数量较少，专业人员配备不齐全的得1分；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内容提出有关服务承诺，方案包括：①工作期间重点岗位人员审查及人员考核、确保工作人员符合此次工作性质的承诺；②对服务时限内团队稳定性等相关内容等做出承诺；③对服务质量一致性、分析报告数据准确性及专业性等相关内容等做出承诺；④积极配合采购人相关工作内容的承诺。 二、评审标准 1、完整性：方案必须全面，对评审内容中的各项要求有详细描述； 2、可实施性：切合本项目实际情况，提出步骤清晰、合理的方案； 3、针对性：方案能够紧扣项目实际情况，内容科学合理。 三、赋分标准（满分12分） ①工作期间重点岗位人员审查及人员考核、确保工作人员符合此次工作性质的承诺：此评审项满分3分，每完全满足一个评审标准得1分；针对每条评审标准，如存在不合理的方面，得0.5分；针对每条评审标准，方案内容与本项目无关或未提供的，得0分。 ②对服务时限内团队稳定性等相关内容等做出承诺：此评审项满分3分，每完全满足一个评审标准得1分；针对每条评审标准，如存在不合理的方面，得0.5分；针对每条评审标准，方案内容与本项目无关或未提供的，得0分。 ③对服务质量一致性、分析报告数据准确性及专业性等相关内容等做出承诺：此评审项满分3分，每完全满足一个评审标准得1分；针对每条评审标准，如存在不合理的方面，得0.5分；针对每条评审标准，方案内容与本项目无关或未提供的，得0分。 ④积极配合采购人相关工作内容的承诺：此评审项满分3分，每完全满足一个评审标准得1分；针对每条评审标准，如存在不合理的方面，得0.5分；针对每条评审标准，方案内容与本项目无关或未提供的，得0分。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项目经理评审</w:t>
            </w:r>
          </w:p>
        </w:tc>
        <w:tc>
          <w:tcPr>
            <w:tcW w:type="dxa" w:w="2492"/>
          </w:tcPr>
          <w:p>
            <w:pPr>
              <w:pStyle w:val="null3"/>
            </w:pPr>
            <w:r>
              <w:rPr>
                <w:rFonts w:ascii="仿宋_GB2312" w:hAnsi="仿宋_GB2312" w:cs="仿宋_GB2312" w:eastAsia="仿宋_GB2312"/>
              </w:rPr>
              <w:t>1.拟派项目经理具备5年以上安全攻防演习服务经验的得1分。提供相关证明材料，证明材料需体现该项目经理参与项目实施。 项目经理具备CISP（国家注册信息安全专业人员认证证书）、PMP（项目管理工程师）证书，提供证书复印件。每提供1个得1分，满分2分，未提供不得分。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项目组成员经验评审</w:t>
            </w:r>
          </w:p>
        </w:tc>
        <w:tc>
          <w:tcPr>
            <w:tcW w:type="dxa" w:w="2492"/>
          </w:tcPr>
          <w:p>
            <w:pPr>
              <w:pStyle w:val="null3"/>
            </w:pPr>
            <w:r>
              <w:rPr>
                <w:rFonts w:ascii="仿宋_GB2312" w:hAnsi="仿宋_GB2312" w:cs="仿宋_GB2312" w:eastAsia="仿宋_GB2312"/>
              </w:rPr>
              <w:t>项目组主要成员需具有网络攻防或网络安全项目实施经验，提供相关证明材料(提供相关合同或者相关报告等能证明项目组成员有相关经验的资料即可)，每提供一份得1分，满分3分。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以供应商（2022年1月1日以来）攻防演练或演习项目业绩计算，每份合同为1个业绩，每提供一个得1分，满分4分。（提供合同复印件）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以本次满足磋商文件要求的最低最后磋商报价为磋商基准价，其磋商报价为满分。其他供应商的磋商报价得分，统一按照下列公式计算：磋商报价得分=(磋商基准价／最后磋商报价)×10 符合磋商文件规定的小微企业、监狱企业、残疾人福利性单位优惠条件的供应商，用扣除后的价格参与评审。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