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1B8361">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color w:val="auto"/>
          <w:sz w:val="24"/>
          <w:szCs w:val="24"/>
          <w:highlight w:val="none"/>
          <w:lang w:val="en-US" w:eastAsia="zh-CN"/>
        </w:rPr>
      </w:pPr>
    </w:p>
    <w:p w14:paraId="62AB7EB1">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color w:val="auto"/>
          <w:sz w:val="24"/>
          <w:szCs w:val="24"/>
          <w:highlight w:val="none"/>
          <w:lang w:val="en-US" w:eastAsia="zh-CN"/>
        </w:rPr>
      </w:pPr>
    </w:p>
    <w:p w14:paraId="2109A000">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color w:val="auto"/>
          <w:sz w:val="40"/>
          <w:szCs w:val="40"/>
          <w:highlight w:val="none"/>
          <w:lang w:val="en-US" w:eastAsia="zh-CN"/>
        </w:rPr>
      </w:pPr>
    </w:p>
    <w:p w14:paraId="2C353330">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center"/>
        <w:textAlignment w:val="auto"/>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 xml:space="preserve"> 《“十五五”文化和旅游发展规划》编制项目服务合同</w:t>
      </w:r>
    </w:p>
    <w:p w14:paraId="74AA27CA">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color w:val="auto"/>
          <w:sz w:val="40"/>
          <w:szCs w:val="40"/>
          <w:highlight w:val="none"/>
          <w:lang w:val="en-US" w:eastAsia="zh-CN"/>
        </w:rPr>
      </w:pPr>
    </w:p>
    <w:p w14:paraId="01CE1D39">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color w:val="auto"/>
          <w:sz w:val="40"/>
          <w:szCs w:val="40"/>
          <w:highlight w:val="none"/>
          <w:lang w:val="en-US" w:eastAsia="zh-CN"/>
        </w:rPr>
      </w:pPr>
    </w:p>
    <w:p w14:paraId="037AA34F">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color w:val="auto"/>
          <w:sz w:val="40"/>
          <w:szCs w:val="40"/>
          <w:highlight w:val="none"/>
          <w:lang w:val="en-US" w:eastAsia="zh-CN"/>
        </w:rPr>
      </w:pPr>
    </w:p>
    <w:p w14:paraId="0A2D1390">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color w:val="auto"/>
          <w:sz w:val="40"/>
          <w:szCs w:val="40"/>
          <w:highlight w:val="none"/>
          <w:lang w:val="en-US" w:eastAsia="zh-CN"/>
        </w:rPr>
      </w:pPr>
    </w:p>
    <w:p w14:paraId="2D6CA366">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color w:val="auto"/>
          <w:sz w:val="40"/>
          <w:szCs w:val="40"/>
          <w:highlight w:val="none"/>
          <w:lang w:val="en-US" w:eastAsia="zh-CN"/>
        </w:rPr>
      </w:pPr>
    </w:p>
    <w:p w14:paraId="1CDEF6EB">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color w:val="auto"/>
          <w:sz w:val="40"/>
          <w:szCs w:val="40"/>
          <w:highlight w:val="none"/>
          <w:lang w:val="en-US" w:eastAsia="zh-CN"/>
        </w:rPr>
      </w:pPr>
    </w:p>
    <w:p w14:paraId="4235AC2A">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color w:val="auto"/>
          <w:sz w:val="40"/>
          <w:szCs w:val="40"/>
          <w:highlight w:val="none"/>
          <w:lang w:val="en-US" w:eastAsia="zh-CN"/>
        </w:rPr>
      </w:pPr>
    </w:p>
    <w:p w14:paraId="3F12033D">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color w:val="auto"/>
          <w:sz w:val="40"/>
          <w:szCs w:val="40"/>
          <w:highlight w:val="none"/>
          <w:lang w:val="en-US" w:eastAsia="zh-CN"/>
        </w:rPr>
      </w:pPr>
    </w:p>
    <w:p w14:paraId="2D33A13B">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center"/>
        <w:textAlignment w:val="auto"/>
        <w:rPr>
          <w:rFonts w:hint="eastAsia" w:ascii="仿宋" w:hAnsi="仿宋" w:eastAsia="仿宋" w:cs="仿宋"/>
          <w:color w:val="auto"/>
          <w:sz w:val="36"/>
          <w:szCs w:val="36"/>
          <w:highlight w:val="none"/>
          <w:lang w:val="en-US" w:eastAsia="zh-CN"/>
        </w:rPr>
      </w:pPr>
    </w:p>
    <w:p w14:paraId="53CC00C3">
      <w:pPr>
        <w:keepNext w:val="0"/>
        <w:keepLines w:val="0"/>
        <w:pageBreakBefore w:val="0"/>
        <w:numPr>
          <w:ilvl w:val="0"/>
          <w:numId w:val="0"/>
        </w:numPr>
        <w:kinsoku/>
        <w:wordWrap/>
        <w:overflowPunct/>
        <w:autoSpaceDE/>
        <w:autoSpaceDN/>
        <w:bidi w:val="0"/>
        <w:adjustRightInd/>
        <w:snapToGrid/>
        <w:spacing w:line="360" w:lineRule="auto"/>
        <w:ind w:left="0" w:leftChars="0" w:right="0" w:rightChars="0" w:firstLine="1280" w:firstLineChars="4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甲方(采购人):</w:t>
      </w:r>
      <w:r>
        <w:rPr>
          <w:rFonts w:hint="eastAsia" w:ascii="仿宋" w:hAnsi="仿宋" w:eastAsia="仿宋" w:cs="仿宋"/>
          <w:color w:val="auto"/>
          <w:sz w:val="32"/>
          <w:szCs w:val="32"/>
          <w:highlight w:val="none"/>
          <w:u w:val="single"/>
          <w:lang w:val="en-US" w:eastAsia="zh-CN"/>
        </w:rPr>
        <w:t xml:space="preserve">           </w:t>
      </w:r>
    </w:p>
    <w:p w14:paraId="3EB83F7E">
      <w:pPr>
        <w:keepNext w:val="0"/>
        <w:keepLines w:val="0"/>
        <w:pageBreakBefore w:val="0"/>
        <w:numPr>
          <w:ilvl w:val="0"/>
          <w:numId w:val="0"/>
        </w:numPr>
        <w:kinsoku/>
        <w:wordWrap/>
        <w:overflowPunct/>
        <w:autoSpaceDE/>
        <w:autoSpaceDN/>
        <w:bidi w:val="0"/>
        <w:adjustRightInd/>
        <w:snapToGrid/>
        <w:spacing w:line="360" w:lineRule="auto"/>
        <w:ind w:left="0" w:leftChars="0" w:right="0" w:rightChars="0" w:firstLine="1280" w:firstLineChars="4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乙方(供应商):</w:t>
      </w:r>
      <w:r>
        <w:rPr>
          <w:rFonts w:hint="eastAsia" w:ascii="仿宋" w:hAnsi="仿宋" w:eastAsia="仿宋" w:cs="仿宋"/>
          <w:color w:val="auto"/>
          <w:sz w:val="32"/>
          <w:szCs w:val="32"/>
          <w:highlight w:val="none"/>
          <w:u w:val="single"/>
          <w:lang w:val="en-US" w:eastAsia="zh-CN"/>
        </w:rPr>
        <w:t xml:space="preserve">           </w:t>
      </w:r>
    </w:p>
    <w:p w14:paraId="586CED95">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年  月   日</w:t>
      </w:r>
    </w:p>
    <w:p w14:paraId="46C35523">
      <w:pPr>
        <w:keepNext w:val="0"/>
        <w:keepLines w:val="0"/>
        <w:pageBreakBefore w:val="0"/>
        <w:kinsoku/>
        <w:wordWrap/>
        <w:overflowPunct/>
        <w:autoSpaceDE/>
        <w:autoSpaceDN/>
        <w:bidi w:val="0"/>
        <w:adjustRightInd/>
        <w:snapToGrid/>
        <w:spacing w:line="360" w:lineRule="auto"/>
        <w:ind w:left="0" w:leftChars="0" w:right="0" w:rightChars="0"/>
        <w:textAlignment w:val="auto"/>
        <w:rPr>
          <w:rFonts w:hint="eastAsia" w:ascii="仿宋" w:hAnsi="仿宋" w:eastAsia="仿宋" w:cs="仿宋"/>
          <w:color w:val="auto"/>
          <w:sz w:val="36"/>
          <w:szCs w:val="36"/>
          <w:highlight w:val="none"/>
          <w:lang w:val="en-US" w:eastAsia="zh-CN"/>
        </w:rPr>
      </w:pPr>
      <w:r>
        <w:rPr>
          <w:rFonts w:hint="eastAsia" w:ascii="仿宋" w:hAnsi="仿宋" w:eastAsia="仿宋" w:cs="仿宋"/>
          <w:color w:val="auto"/>
          <w:sz w:val="36"/>
          <w:szCs w:val="36"/>
          <w:highlight w:val="none"/>
          <w:lang w:val="en-US" w:eastAsia="zh-CN"/>
        </w:rPr>
        <w:br w:type="page"/>
      </w:r>
    </w:p>
    <w:p w14:paraId="2BE4944C">
      <w:pPr>
        <w:adjustRightInd w:val="0"/>
        <w:snapToGrid w:val="0"/>
        <w:spacing w:line="500" w:lineRule="exact"/>
        <w:ind w:firstLine="480" w:firstLineChars="200"/>
        <w:rPr>
          <w:rFonts w:hint="eastAsia" w:ascii="仿宋" w:hAnsi="仿宋" w:eastAsia="仿宋" w:cs="仿宋"/>
          <w:bCs/>
          <w:color w:val="auto"/>
          <w:sz w:val="24"/>
          <w:szCs w:val="24"/>
          <w:highlight w:val="none"/>
          <w:u w:val="single"/>
          <w:lang w:eastAsia="zh-CN"/>
        </w:rPr>
      </w:pPr>
      <w:r>
        <w:rPr>
          <w:rFonts w:hint="eastAsia" w:ascii="仿宋" w:hAnsi="仿宋" w:eastAsia="仿宋" w:cs="仿宋"/>
          <w:bCs/>
          <w:color w:val="auto"/>
          <w:sz w:val="24"/>
          <w:szCs w:val="24"/>
          <w:highlight w:val="none"/>
        </w:rPr>
        <w:t>甲方：陕西省文化和旅游厅</w:t>
      </w:r>
    </w:p>
    <w:p w14:paraId="12830F25">
      <w:pPr>
        <w:adjustRightInd w:val="0"/>
        <w:snapToGrid w:val="0"/>
        <w:spacing w:line="500" w:lineRule="exact"/>
        <w:ind w:firstLine="480" w:firstLineChars="200"/>
        <w:rPr>
          <w:rFonts w:hint="eastAsia" w:ascii="仿宋" w:hAnsi="仿宋" w:eastAsia="仿宋" w:cs="仿宋"/>
          <w:bCs/>
          <w:color w:val="auto"/>
          <w:sz w:val="24"/>
          <w:szCs w:val="24"/>
          <w:highlight w:val="none"/>
          <w:u w:val="single"/>
          <w:lang w:val="en-US" w:eastAsia="zh-CN"/>
        </w:rPr>
      </w:pPr>
      <w:r>
        <w:rPr>
          <w:rFonts w:hint="eastAsia" w:ascii="仿宋" w:hAnsi="仿宋" w:eastAsia="仿宋" w:cs="仿宋"/>
          <w:bCs/>
          <w:color w:val="auto"/>
          <w:sz w:val="24"/>
          <w:szCs w:val="24"/>
          <w:highlight w:val="none"/>
        </w:rPr>
        <w:t>法定代表人：</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住所地：</w:t>
      </w:r>
      <w:r>
        <w:rPr>
          <w:rFonts w:hint="eastAsia" w:ascii="仿宋" w:hAnsi="仿宋" w:eastAsia="仿宋" w:cs="仿宋"/>
          <w:bCs/>
          <w:color w:val="auto"/>
          <w:sz w:val="24"/>
          <w:szCs w:val="24"/>
          <w:highlight w:val="none"/>
          <w:u w:val="single"/>
          <w:lang w:val="en-US" w:eastAsia="zh-CN"/>
        </w:rPr>
        <w:t xml:space="preserve">                  </w:t>
      </w:r>
    </w:p>
    <w:p w14:paraId="5E0432F3">
      <w:pPr>
        <w:adjustRightInd w:val="0"/>
        <w:snapToGrid w:val="0"/>
        <w:spacing w:line="500" w:lineRule="exact"/>
        <w:ind w:firstLine="480" w:firstLineChars="200"/>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u w:val="single"/>
        </w:rPr>
        <w:t xml:space="preserve">                      </w:t>
      </w:r>
    </w:p>
    <w:p w14:paraId="15C81E30">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住所地：</w:t>
      </w:r>
    </w:p>
    <w:p w14:paraId="3B8F56BB">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eastAsia="zh-CN"/>
        </w:rPr>
        <w:t>陕西省文化和旅游厅</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eastAsia="zh-CN"/>
        </w:rPr>
        <w:t>《“十五五”文化和旅游发展规划》编制项目</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，由</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eastAsia="zh-CN"/>
        </w:rPr>
        <w:t>华夏国际项目管理（西安）有限公司</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竞争性磋商</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，选定</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为成交单位。经</w:t>
      </w:r>
      <w:r>
        <w:rPr>
          <w:rFonts w:hint="eastAsia" w:ascii="仿宋" w:hAnsi="仿宋" w:eastAsia="仿宋" w:cs="仿宋"/>
          <w:bCs/>
          <w:color w:val="auto"/>
          <w:sz w:val="24"/>
          <w:szCs w:val="24"/>
          <w:highlight w:val="none"/>
          <w:lang w:eastAsia="zh-CN"/>
        </w:rPr>
        <w:t>陕西省文化和旅游厅</w:t>
      </w:r>
      <w:r>
        <w:rPr>
          <w:rFonts w:hint="eastAsia" w:ascii="仿宋" w:hAnsi="仿宋" w:eastAsia="仿宋" w:cs="仿宋"/>
          <w:bCs/>
          <w:color w:val="auto"/>
          <w:sz w:val="24"/>
          <w:szCs w:val="24"/>
          <w:highlight w:val="none"/>
        </w:rPr>
        <w:t>（以下简称甲方）与</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（以下简称乙方）共同协商，达成如下合同条款。</w:t>
      </w:r>
    </w:p>
    <w:p w14:paraId="7DDD5912">
      <w:pPr>
        <w:numPr>
          <w:ilvl w:val="0"/>
          <w:numId w:val="0"/>
        </w:numPr>
        <w:spacing w:line="500" w:lineRule="exact"/>
        <w:ind w:firstLine="482"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一、项目概况</w:t>
      </w:r>
    </w:p>
    <w:p w14:paraId="298BA059">
      <w:pPr>
        <w:numPr>
          <w:ilvl w:val="0"/>
          <w:numId w:val="0"/>
        </w:num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bidi="ar-SA"/>
        </w:rPr>
        <w:t>1、</w:t>
      </w:r>
      <w:r>
        <w:rPr>
          <w:rFonts w:hint="eastAsia" w:ascii="仿宋" w:hAnsi="仿宋" w:eastAsia="仿宋" w:cs="仿宋"/>
          <w:color w:val="auto"/>
          <w:sz w:val="24"/>
          <w:szCs w:val="24"/>
          <w:highlight w:val="none"/>
          <w:lang w:val="en-US" w:eastAsia="zh-CN"/>
        </w:rPr>
        <w:t>项目名称</w:t>
      </w:r>
      <w:r>
        <w:rPr>
          <w:rFonts w:hint="eastAsia" w:ascii="仿宋" w:hAnsi="仿宋" w:eastAsia="仿宋" w:cs="仿宋"/>
          <w:color w:val="auto"/>
          <w:sz w:val="24"/>
          <w:szCs w:val="24"/>
          <w:highlight w:val="none"/>
        </w:rPr>
        <w:t>：</w:t>
      </w:r>
      <w:r>
        <w:rPr>
          <w:rFonts w:hint="eastAsia" w:ascii="仿宋" w:hAnsi="仿宋" w:eastAsia="仿宋" w:cs="仿宋"/>
          <w:b w:val="0"/>
          <w:bCs w:val="0"/>
          <w:i w:val="0"/>
          <w:caps w:val="0"/>
          <w:color w:val="auto"/>
          <w:spacing w:val="0"/>
          <w:sz w:val="24"/>
          <w:szCs w:val="24"/>
          <w:highlight w:val="none"/>
          <w:u w:val="single"/>
          <w:shd w:val="clear" w:color="auto" w:fill="FFFFFF"/>
          <w:lang w:eastAsia="zh-CN"/>
        </w:rPr>
        <w:t>《“十五五”文化和旅游发展规划》编制项目</w:t>
      </w:r>
      <w:r>
        <w:rPr>
          <w:rFonts w:hint="eastAsia" w:ascii="仿宋" w:hAnsi="仿宋" w:eastAsia="仿宋" w:cs="仿宋"/>
          <w:color w:val="auto"/>
          <w:sz w:val="24"/>
          <w:szCs w:val="24"/>
          <w:highlight w:val="none"/>
        </w:rPr>
        <w:t>；</w:t>
      </w:r>
    </w:p>
    <w:p w14:paraId="7E30407B">
      <w:pPr>
        <w:numPr>
          <w:ilvl w:val="0"/>
          <w:numId w:val="0"/>
        </w:numPr>
        <w:spacing w:line="50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bidi="ar-SA"/>
        </w:rPr>
        <w:t>2、</w:t>
      </w:r>
      <w:r>
        <w:rPr>
          <w:rFonts w:hint="eastAsia" w:ascii="仿宋" w:hAnsi="仿宋" w:eastAsia="仿宋" w:cs="仿宋"/>
          <w:color w:val="auto"/>
          <w:sz w:val="24"/>
          <w:szCs w:val="24"/>
          <w:highlight w:val="none"/>
          <w:lang w:val="en-US" w:eastAsia="zh-CN"/>
        </w:rPr>
        <w:t>项目地点</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7ED6B35E">
      <w:pPr>
        <w:numPr>
          <w:ilvl w:val="0"/>
          <w:numId w:val="0"/>
        </w:numPr>
        <w:spacing w:line="500" w:lineRule="exact"/>
        <w:ind w:firstLine="480" w:firstLineChars="200"/>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3、项目内容：</w:t>
      </w:r>
      <w:r>
        <w:rPr>
          <w:rFonts w:hint="eastAsia" w:ascii="仿宋" w:hAnsi="仿宋" w:eastAsia="仿宋" w:cs="仿宋"/>
          <w:color w:val="auto"/>
          <w:sz w:val="24"/>
          <w:szCs w:val="24"/>
          <w:highlight w:val="none"/>
          <w:u w:val="single"/>
          <w:lang w:val="en-US" w:eastAsia="zh-CN"/>
        </w:rPr>
        <w:t xml:space="preserve">                     ；</w:t>
      </w:r>
    </w:p>
    <w:p w14:paraId="46E2F76C">
      <w:pPr>
        <w:numPr>
          <w:ilvl w:val="0"/>
          <w:numId w:val="0"/>
        </w:numPr>
        <w:spacing w:line="500" w:lineRule="exact"/>
        <w:ind w:firstLine="480" w:firstLineChars="200"/>
        <w:rPr>
          <w:rFonts w:hint="eastAsia" w:ascii="仿宋" w:hAnsi="仿宋" w:eastAsia="仿宋" w:cs="仿宋"/>
          <w:color w:val="auto"/>
          <w:sz w:val="24"/>
          <w:szCs w:val="24"/>
          <w:highlight w:val="none"/>
          <w:u w:val="none"/>
          <w:lang w:val="en-US"/>
        </w:rPr>
      </w:pPr>
      <w:r>
        <w:rPr>
          <w:rFonts w:hint="eastAsia" w:ascii="仿宋" w:hAnsi="仿宋" w:eastAsia="仿宋" w:cs="仿宋"/>
          <w:color w:val="auto"/>
          <w:sz w:val="24"/>
          <w:szCs w:val="24"/>
          <w:highlight w:val="none"/>
          <w:u w:val="none"/>
          <w:lang w:val="en-US" w:eastAsia="zh-CN"/>
        </w:rPr>
        <w:t>4、服务期限：自合同签订之日起至项目结束。</w:t>
      </w:r>
    </w:p>
    <w:p w14:paraId="4155011D">
      <w:pPr>
        <w:tabs>
          <w:tab w:val="left" w:pos="840"/>
        </w:tabs>
        <w:spacing w:line="500" w:lineRule="exact"/>
        <w:ind w:firstLine="482"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b/>
          <w:color w:val="auto"/>
          <w:sz w:val="24"/>
          <w:szCs w:val="24"/>
          <w:highlight w:val="none"/>
          <w:lang w:val="en-US" w:eastAsia="zh-CN" w:bidi="ar-SA"/>
        </w:rPr>
        <w:t>二、合同金额</w:t>
      </w:r>
    </w:p>
    <w:p w14:paraId="4955380B">
      <w:pPr>
        <w:tabs>
          <w:tab w:val="left" w:pos="840"/>
        </w:tabs>
        <w:spacing w:line="50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1、合同金额（大写）：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元</w:t>
      </w:r>
      <w:r>
        <w:rPr>
          <w:rFonts w:hint="eastAsia" w:ascii="仿宋" w:hAnsi="仿宋" w:eastAsia="仿宋" w:cs="仿宋"/>
          <w:color w:val="auto"/>
          <w:sz w:val="24"/>
          <w:szCs w:val="24"/>
          <w:highlight w:val="none"/>
          <w:lang w:val="en-US" w:eastAsia="zh-CN"/>
        </w:rPr>
        <w:t>）</w:t>
      </w:r>
    </w:p>
    <w:p w14:paraId="66A062FF">
      <w:pPr>
        <w:tabs>
          <w:tab w:val="left" w:pos="840"/>
        </w:tabs>
        <w:spacing w:line="50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2、合同总价即成交价，为一</w:t>
      </w:r>
      <w:bookmarkStart w:id="0" w:name="_GoBack"/>
      <w:bookmarkEnd w:id="0"/>
      <w:r>
        <w:rPr>
          <w:rFonts w:hint="eastAsia" w:ascii="仿宋" w:hAnsi="仿宋" w:eastAsia="仿宋" w:cs="仿宋"/>
          <w:color w:val="auto"/>
          <w:sz w:val="24"/>
          <w:szCs w:val="24"/>
          <w:highlight w:val="none"/>
          <w:lang w:val="en-US" w:eastAsia="zh-CN"/>
        </w:rPr>
        <w:t>次性报价，不受市场价变化的影响。合同价格为含税价，供应商提供服务所发生的包括但不限于设计及物料制作费、招标代理服务费、税金等其他一切相关费用，均已包含在合同价款中，甲方不再另行支付其他任何费用。</w:t>
      </w:r>
    </w:p>
    <w:p w14:paraId="50A6E064">
      <w:pPr>
        <w:tabs>
          <w:tab w:val="left" w:pos="840"/>
        </w:tabs>
        <w:spacing w:line="500" w:lineRule="exact"/>
        <w:ind w:firstLine="482"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b/>
          <w:color w:val="auto"/>
          <w:sz w:val="24"/>
          <w:szCs w:val="24"/>
          <w:highlight w:val="none"/>
          <w:lang w:val="en-US" w:eastAsia="zh-CN" w:bidi="ar-SA"/>
        </w:rPr>
        <w:t>三、结算方式</w:t>
      </w:r>
    </w:p>
    <w:p w14:paraId="72095FF6">
      <w:pPr>
        <w:tabs>
          <w:tab w:val="left" w:pos="84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结算单位：</w:t>
      </w:r>
      <w:r>
        <w:rPr>
          <w:rFonts w:hint="eastAsia" w:ascii="仿宋" w:hAnsi="仿宋" w:eastAsia="仿宋" w:cs="仿宋"/>
          <w:color w:val="auto"/>
          <w:sz w:val="24"/>
          <w:szCs w:val="24"/>
          <w:highlight w:val="none"/>
          <w:lang w:val="en-US" w:eastAsia="zh-CN"/>
        </w:rPr>
        <w:t>银行转账，</w:t>
      </w:r>
      <w:r>
        <w:rPr>
          <w:rFonts w:hint="eastAsia" w:ascii="仿宋" w:hAnsi="仿宋" w:eastAsia="仿宋" w:cs="仿宋"/>
          <w:color w:val="auto"/>
          <w:sz w:val="24"/>
          <w:szCs w:val="24"/>
          <w:highlight w:val="none"/>
        </w:rPr>
        <w:t>由甲方以人民币负责结算，在付款前，</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必须开具等额发票及结算相关资料给甲方。否则，甲方有权拒绝付款，且无需承担任何责任，乙方不得以此为由拒绝履行合同义务。</w:t>
      </w:r>
    </w:p>
    <w:p w14:paraId="4710A230">
      <w:pPr>
        <w:tabs>
          <w:tab w:val="left" w:pos="84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付款</w:t>
      </w:r>
      <w:r>
        <w:rPr>
          <w:rFonts w:hint="eastAsia" w:ascii="仿宋" w:hAnsi="仿宋" w:eastAsia="仿宋" w:cs="仿宋"/>
          <w:color w:val="auto"/>
          <w:sz w:val="24"/>
          <w:szCs w:val="24"/>
          <w:highlight w:val="none"/>
        </w:rPr>
        <w:t>方式：</w:t>
      </w:r>
      <w:r>
        <w:rPr>
          <w:rFonts w:hint="eastAsia" w:ascii="仿宋" w:hAnsi="仿宋" w:eastAsia="仿宋" w:cs="仿宋"/>
          <w:color w:val="auto"/>
          <w:sz w:val="24"/>
          <w:szCs w:val="24"/>
          <w:highlight w:val="none"/>
          <w:lang w:val="en-US" w:eastAsia="zh-CN"/>
        </w:rPr>
        <w:t>①</w:t>
      </w:r>
      <w:r>
        <w:rPr>
          <w:rFonts w:hint="eastAsia" w:ascii="仿宋" w:hAnsi="仿宋" w:eastAsia="仿宋" w:cs="仿宋"/>
          <w:color w:val="auto"/>
          <w:sz w:val="24"/>
          <w:szCs w:val="24"/>
          <w:highlight w:val="none"/>
        </w:rPr>
        <w:t xml:space="preserve"> 合同签订后 ，达到付款条件起 1</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日内，支付合同总金额的</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0.00%。</w:t>
      </w:r>
    </w:p>
    <w:p w14:paraId="3CB00BA8">
      <w:pPr>
        <w:tabs>
          <w:tab w:val="left" w:pos="84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②项目结束后</w:t>
      </w:r>
      <w:r>
        <w:rPr>
          <w:rFonts w:hint="eastAsia" w:ascii="仿宋" w:hAnsi="仿宋" w:eastAsia="仿宋" w:cs="仿宋"/>
          <w:color w:val="auto"/>
          <w:sz w:val="24"/>
          <w:szCs w:val="24"/>
          <w:highlight w:val="none"/>
        </w:rPr>
        <w:t>，达到付款条件起</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日内，支付合同总金额的</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0.00%。</w:t>
      </w:r>
    </w:p>
    <w:p w14:paraId="4AFC7040">
      <w:pPr>
        <w:tabs>
          <w:tab w:val="left" w:pos="840"/>
        </w:tabs>
        <w:spacing w:line="50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3、乙方收款账户信息：</w:t>
      </w:r>
    </w:p>
    <w:p w14:paraId="41ABA06A">
      <w:pPr>
        <w:tabs>
          <w:tab w:val="left" w:pos="840"/>
        </w:tabs>
        <w:spacing w:line="50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账户名称：</w:t>
      </w:r>
      <w:r>
        <w:rPr>
          <w:rFonts w:hint="eastAsia" w:ascii="仿宋" w:hAnsi="仿宋" w:eastAsia="仿宋" w:cs="仿宋"/>
          <w:color w:val="auto"/>
          <w:sz w:val="24"/>
          <w:szCs w:val="24"/>
          <w:highlight w:val="none"/>
          <w:u w:val="single"/>
          <w:lang w:val="en-US" w:eastAsia="zh-CN"/>
        </w:rPr>
        <w:t xml:space="preserve">                         </w:t>
      </w:r>
    </w:p>
    <w:p w14:paraId="738257CA">
      <w:pPr>
        <w:tabs>
          <w:tab w:val="left" w:pos="840"/>
        </w:tabs>
        <w:spacing w:line="50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开户行：</w:t>
      </w:r>
      <w:r>
        <w:rPr>
          <w:rFonts w:hint="eastAsia" w:ascii="仿宋" w:hAnsi="仿宋" w:eastAsia="仿宋" w:cs="仿宋"/>
          <w:color w:val="auto"/>
          <w:sz w:val="24"/>
          <w:szCs w:val="24"/>
          <w:highlight w:val="none"/>
          <w:u w:val="single"/>
          <w:lang w:val="en-US" w:eastAsia="zh-CN"/>
        </w:rPr>
        <w:t xml:space="preserve">                           </w:t>
      </w:r>
    </w:p>
    <w:p w14:paraId="233130C1">
      <w:pPr>
        <w:tabs>
          <w:tab w:val="left" w:pos="840"/>
        </w:tabs>
        <w:spacing w:line="50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银行账号：</w:t>
      </w:r>
      <w:r>
        <w:rPr>
          <w:rFonts w:hint="eastAsia" w:ascii="仿宋" w:hAnsi="仿宋" w:eastAsia="仿宋" w:cs="仿宋"/>
          <w:color w:val="auto"/>
          <w:sz w:val="24"/>
          <w:szCs w:val="24"/>
          <w:highlight w:val="none"/>
          <w:u w:val="single"/>
          <w:lang w:val="en-US" w:eastAsia="zh-CN"/>
        </w:rPr>
        <w:t xml:space="preserve">                         </w:t>
      </w:r>
    </w:p>
    <w:p w14:paraId="7504F9D7">
      <w:pPr>
        <w:spacing w:line="500" w:lineRule="exact"/>
        <w:ind w:firstLine="482"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四、服务要求</w:t>
      </w:r>
    </w:p>
    <w:p w14:paraId="6C83A3EA">
      <w:pPr>
        <w:spacing w:line="500" w:lineRule="exact"/>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1．完成</w:t>
      </w:r>
      <w:r>
        <w:rPr>
          <w:rFonts w:hint="eastAsia" w:ascii="仿宋" w:hAnsi="仿宋" w:eastAsia="仿宋" w:cs="仿宋"/>
          <w:b w:val="0"/>
          <w:bCs w:val="0"/>
          <w:i w:val="0"/>
          <w:caps w:val="0"/>
          <w:color w:val="auto"/>
          <w:spacing w:val="0"/>
          <w:sz w:val="24"/>
          <w:szCs w:val="24"/>
          <w:highlight w:val="none"/>
          <w:u w:val="none"/>
          <w:shd w:val="clear" w:color="auto" w:fill="FFFFFF"/>
          <w:lang w:eastAsia="zh-CN"/>
        </w:rPr>
        <w:t>《“十五五”文化和旅游发展规划》编制项目</w:t>
      </w:r>
      <w:r>
        <w:rPr>
          <w:rFonts w:hint="eastAsia" w:ascii="仿宋" w:hAnsi="仿宋" w:eastAsia="仿宋" w:cs="仿宋"/>
          <w:b w:val="0"/>
          <w:bCs w:val="0"/>
          <w:i w:val="0"/>
          <w:caps w:val="0"/>
          <w:color w:val="auto"/>
          <w:spacing w:val="0"/>
          <w:sz w:val="24"/>
          <w:szCs w:val="24"/>
          <w:highlight w:val="none"/>
          <w:u w:val="none"/>
          <w:shd w:val="clear" w:color="auto" w:fill="FFFFFF"/>
          <w:lang w:val="en-US" w:eastAsia="zh-CN"/>
        </w:rPr>
        <w:t>编制</w:t>
      </w:r>
      <w:r>
        <w:rPr>
          <w:rFonts w:hint="eastAsia" w:ascii="仿宋" w:hAnsi="仿宋" w:eastAsia="仿宋" w:cs="仿宋"/>
          <w:b w:val="0"/>
          <w:bCs/>
          <w:color w:val="auto"/>
          <w:sz w:val="24"/>
          <w:szCs w:val="24"/>
          <w:highlight w:val="none"/>
          <w:u w:val="none"/>
          <w:lang w:val="en-US" w:eastAsia="zh-CN"/>
        </w:rPr>
        <w:t>。</w:t>
      </w:r>
    </w:p>
    <w:p w14:paraId="682078E3">
      <w:pPr>
        <w:pStyle w:val="3"/>
        <w:spacing w:before="91" w:line="406" w:lineRule="auto"/>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w:t>
      </w:r>
      <w:r>
        <w:rPr>
          <w:rFonts w:hint="eastAsia" w:ascii="仿宋" w:hAnsi="仿宋" w:eastAsia="仿宋" w:cs="仿宋"/>
          <w:color w:val="auto"/>
          <w:sz w:val="24"/>
          <w:szCs w:val="24"/>
          <w:highlight w:val="none"/>
          <w:lang w:val="en-US" w:eastAsia="zh-CN"/>
        </w:rPr>
        <w:t>在文化强国、旅游强国以及推进中国式文化旅游现代化的背景下，立足国家“十五五”文化和旅游发展新形势、新要求、新任务，结合陕西发展实际，深入开展调研，梳理总结评估“十四五”期间陕西文化和旅游建设取得的发展成效，分析当前存在的问题，提出切实可行的发展目标、发展思路、主要任务、具体举措以及保障体系，谋划重点工程、重点项目。包括但不限于：形成陕西“十四五”文化和旅游发展典型案例分析报告、陕西文化和旅游发展难点问题分析报告、陕西各市文旅发展情况报告、“十五五”文化和旅游各相关领域发展形势和思路研究报告、他省“十四五”经验案例调研报告、“十五五”文化和旅游发展规划稿本等。</w:t>
      </w:r>
    </w:p>
    <w:p w14:paraId="414340FD">
      <w:pPr>
        <w:pStyle w:val="3"/>
        <w:spacing w:before="91" w:line="406" w:lineRule="auto"/>
        <w:ind w:firstLine="480" w:firstLineChars="200"/>
        <w:jc w:val="both"/>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3.A4胶状规划文本300份并附带电子版。</w:t>
      </w:r>
    </w:p>
    <w:p w14:paraId="3E06AE8A">
      <w:pPr>
        <w:spacing w:line="500" w:lineRule="exact"/>
        <w:ind w:firstLine="482" w:firstLineChars="200"/>
        <w:rPr>
          <w:rFonts w:hint="eastAsia" w:ascii="仿宋" w:hAnsi="仿宋" w:eastAsia="仿宋" w:cs="仿宋"/>
          <w:b/>
          <w:bCs w:val="0"/>
          <w:color w:val="auto"/>
          <w:sz w:val="24"/>
          <w:szCs w:val="24"/>
          <w:highlight w:val="none"/>
          <w:lang w:val="zh-CN" w:eastAsia="zh-CN"/>
        </w:rPr>
      </w:pPr>
      <w:r>
        <w:rPr>
          <w:rFonts w:hint="eastAsia" w:ascii="仿宋" w:hAnsi="仿宋" w:eastAsia="仿宋" w:cs="仿宋"/>
          <w:b/>
          <w:bCs w:val="0"/>
          <w:color w:val="auto"/>
          <w:sz w:val="24"/>
          <w:szCs w:val="24"/>
          <w:highlight w:val="none"/>
          <w:lang w:val="en-US" w:eastAsia="zh-CN"/>
        </w:rPr>
        <w:t>五、</w:t>
      </w:r>
      <w:r>
        <w:rPr>
          <w:rFonts w:hint="eastAsia" w:ascii="仿宋" w:hAnsi="仿宋" w:eastAsia="仿宋" w:cs="仿宋"/>
          <w:b/>
          <w:bCs w:val="0"/>
          <w:color w:val="auto"/>
          <w:sz w:val="24"/>
          <w:szCs w:val="24"/>
          <w:highlight w:val="none"/>
          <w:lang w:val="zh-CN" w:eastAsia="zh-CN"/>
        </w:rPr>
        <w:t>双方的权利与义务</w:t>
      </w:r>
    </w:p>
    <w:p w14:paraId="08DBDC39">
      <w:pPr>
        <w:spacing w:line="500" w:lineRule="exact"/>
        <w:ind w:firstLine="480" w:firstLineChars="200"/>
        <w:rPr>
          <w:rFonts w:hint="eastAsia" w:ascii="仿宋" w:hAnsi="仿宋" w:eastAsia="仿宋" w:cs="仿宋"/>
          <w:b w:val="0"/>
          <w:bCs/>
          <w:color w:val="auto"/>
          <w:sz w:val="24"/>
          <w:szCs w:val="24"/>
          <w:highlight w:val="none"/>
          <w:lang w:val="zh-CN" w:eastAsia="zh-CN"/>
        </w:rPr>
      </w:pPr>
      <w:r>
        <w:rPr>
          <w:rFonts w:hint="eastAsia" w:ascii="仿宋" w:hAnsi="仿宋" w:eastAsia="仿宋" w:cs="仿宋"/>
          <w:b w:val="0"/>
          <w:bCs/>
          <w:color w:val="auto"/>
          <w:sz w:val="24"/>
          <w:szCs w:val="24"/>
          <w:highlight w:val="none"/>
          <w:lang w:val="zh-CN" w:eastAsia="zh-CN"/>
        </w:rPr>
        <w:t>（</w:t>
      </w:r>
      <w:r>
        <w:rPr>
          <w:rFonts w:hint="eastAsia" w:ascii="仿宋" w:hAnsi="仿宋" w:eastAsia="仿宋" w:cs="仿宋"/>
          <w:b w:val="0"/>
          <w:bCs/>
          <w:color w:val="auto"/>
          <w:sz w:val="24"/>
          <w:szCs w:val="24"/>
          <w:highlight w:val="none"/>
          <w:lang w:val="en-US" w:eastAsia="zh-CN"/>
        </w:rPr>
        <w:t>一</w:t>
      </w:r>
      <w:r>
        <w:rPr>
          <w:rFonts w:hint="eastAsia" w:ascii="仿宋" w:hAnsi="仿宋" w:eastAsia="仿宋" w:cs="仿宋"/>
          <w:b w:val="0"/>
          <w:bCs/>
          <w:color w:val="auto"/>
          <w:sz w:val="24"/>
          <w:szCs w:val="24"/>
          <w:highlight w:val="none"/>
          <w:lang w:val="zh-CN" w:eastAsia="zh-CN"/>
        </w:rPr>
        <w:t>）甲方</w:t>
      </w:r>
    </w:p>
    <w:p w14:paraId="6A14A06E">
      <w:pPr>
        <w:spacing w:line="500" w:lineRule="exact"/>
        <w:ind w:firstLine="720" w:firstLineChars="300"/>
        <w:rPr>
          <w:rFonts w:hint="eastAsia" w:ascii="仿宋" w:hAnsi="仿宋" w:eastAsia="仿宋" w:cs="仿宋"/>
          <w:b w:val="0"/>
          <w:bCs/>
          <w:color w:val="auto"/>
          <w:sz w:val="24"/>
          <w:szCs w:val="24"/>
          <w:highlight w:val="none"/>
          <w:lang w:val="zh-CN" w:eastAsia="zh-CN"/>
        </w:rPr>
      </w:pPr>
      <w:r>
        <w:rPr>
          <w:rFonts w:hint="eastAsia" w:ascii="仿宋" w:hAnsi="仿宋" w:eastAsia="仿宋" w:cs="仿宋"/>
          <w:b w:val="0"/>
          <w:bCs/>
          <w:color w:val="auto"/>
          <w:sz w:val="24"/>
          <w:szCs w:val="24"/>
          <w:highlight w:val="none"/>
          <w:lang w:val="en-US" w:eastAsia="zh-CN"/>
        </w:rPr>
        <w:t>1、</w:t>
      </w:r>
      <w:r>
        <w:rPr>
          <w:rFonts w:hint="eastAsia" w:ascii="仿宋" w:hAnsi="仿宋" w:eastAsia="仿宋" w:cs="仿宋"/>
          <w:b w:val="0"/>
          <w:bCs/>
          <w:color w:val="auto"/>
          <w:sz w:val="24"/>
          <w:szCs w:val="24"/>
          <w:highlight w:val="none"/>
          <w:lang w:val="zh-CN" w:eastAsia="zh-CN"/>
        </w:rPr>
        <w:t>监督、参与项目执行的整个过程；</w:t>
      </w:r>
    </w:p>
    <w:p w14:paraId="6442520E">
      <w:pPr>
        <w:spacing w:line="500" w:lineRule="exact"/>
        <w:ind w:firstLine="720" w:firstLineChars="300"/>
        <w:rPr>
          <w:rFonts w:hint="eastAsia" w:ascii="仿宋" w:hAnsi="仿宋" w:eastAsia="仿宋" w:cs="仿宋"/>
          <w:b w:val="0"/>
          <w:bCs/>
          <w:color w:val="auto"/>
          <w:sz w:val="24"/>
          <w:szCs w:val="24"/>
          <w:highlight w:val="none"/>
          <w:lang w:val="zh-CN" w:eastAsia="zh-CN"/>
        </w:rPr>
      </w:pPr>
      <w:r>
        <w:rPr>
          <w:rFonts w:hint="eastAsia" w:ascii="仿宋" w:hAnsi="仿宋" w:eastAsia="仿宋" w:cs="仿宋"/>
          <w:b w:val="0"/>
          <w:bCs/>
          <w:color w:val="auto"/>
          <w:sz w:val="24"/>
          <w:szCs w:val="24"/>
          <w:highlight w:val="none"/>
          <w:lang w:val="en-US" w:eastAsia="zh-CN"/>
        </w:rPr>
        <w:t>2、</w:t>
      </w:r>
      <w:r>
        <w:rPr>
          <w:rFonts w:hint="eastAsia" w:ascii="仿宋" w:hAnsi="仿宋" w:eastAsia="仿宋" w:cs="仿宋"/>
          <w:b w:val="0"/>
          <w:bCs/>
          <w:color w:val="auto"/>
          <w:sz w:val="24"/>
          <w:szCs w:val="24"/>
          <w:highlight w:val="none"/>
          <w:lang w:val="zh-CN" w:eastAsia="zh-CN"/>
        </w:rPr>
        <w:t>为乙方提供必要的工作条件；</w:t>
      </w:r>
    </w:p>
    <w:p w14:paraId="4830064C">
      <w:pPr>
        <w:spacing w:line="500" w:lineRule="exact"/>
        <w:ind w:firstLine="720" w:firstLineChars="300"/>
        <w:rPr>
          <w:rFonts w:hint="eastAsia" w:ascii="仿宋" w:hAnsi="仿宋" w:eastAsia="仿宋" w:cs="仿宋"/>
          <w:b w:val="0"/>
          <w:bCs/>
          <w:color w:val="auto"/>
          <w:sz w:val="24"/>
          <w:szCs w:val="24"/>
          <w:highlight w:val="none"/>
          <w:lang w:val="zh-CN" w:eastAsia="zh-CN"/>
        </w:rPr>
      </w:pPr>
      <w:r>
        <w:rPr>
          <w:rFonts w:hint="eastAsia" w:ascii="仿宋" w:hAnsi="仿宋" w:eastAsia="仿宋" w:cs="仿宋"/>
          <w:b w:val="0"/>
          <w:bCs/>
          <w:color w:val="auto"/>
          <w:sz w:val="24"/>
          <w:szCs w:val="24"/>
          <w:highlight w:val="none"/>
          <w:lang w:val="en-US" w:eastAsia="zh-CN"/>
        </w:rPr>
        <w:t>3、</w:t>
      </w:r>
      <w:r>
        <w:rPr>
          <w:rFonts w:hint="eastAsia" w:ascii="仿宋" w:hAnsi="仿宋" w:eastAsia="仿宋" w:cs="仿宋"/>
          <w:b w:val="0"/>
          <w:bCs/>
          <w:color w:val="auto"/>
          <w:sz w:val="24"/>
          <w:szCs w:val="24"/>
          <w:highlight w:val="none"/>
          <w:lang w:val="zh-CN" w:eastAsia="zh-CN"/>
        </w:rPr>
        <w:t>按照合同约定支付各阶段合同款项。</w:t>
      </w:r>
    </w:p>
    <w:p w14:paraId="70C31D01">
      <w:pPr>
        <w:spacing w:line="500" w:lineRule="exact"/>
        <w:ind w:firstLine="480" w:firstLineChars="200"/>
        <w:rPr>
          <w:rFonts w:hint="eastAsia" w:ascii="仿宋" w:hAnsi="仿宋" w:eastAsia="仿宋" w:cs="仿宋"/>
          <w:b w:val="0"/>
          <w:bCs/>
          <w:color w:val="auto"/>
          <w:sz w:val="24"/>
          <w:szCs w:val="24"/>
          <w:highlight w:val="none"/>
          <w:lang w:val="zh-CN" w:eastAsia="zh-CN"/>
        </w:rPr>
      </w:pPr>
      <w:r>
        <w:rPr>
          <w:rFonts w:hint="eastAsia" w:ascii="仿宋" w:hAnsi="仿宋" w:eastAsia="仿宋" w:cs="仿宋"/>
          <w:b w:val="0"/>
          <w:bCs/>
          <w:color w:val="auto"/>
          <w:sz w:val="24"/>
          <w:szCs w:val="24"/>
          <w:highlight w:val="none"/>
          <w:lang w:val="zh-CN" w:eastAsia="zh-CN"/>
        </w:rPr>
        <w:t>（</w:t>
      </w:r>
      <w:r>
        <w:rPr>
          <w:rFonts w:hint="eastAsia" w:ascii="仿宋" w:hAnsi="仿宋" w:eastAsia="仿宋" w:cs="仿宋"/>
          <w:b w:val="0"/>
          <w:bCs/>
          <w:color w:val="auto"/>
          <w:sz w:val="24"/>
          <w:szCs w:val="24"/>
          <w:highlight w:val="none"/>
          <w:lang w:val="en-US" w:eastAsia="zh-CN"/>
        </w:rPr>
        <w:t>二</w:t>
      </w:r>
      <w:r>
        <w:rPr>
          <w:rFonts w:hint="eastAsia" w:ascii="仿宋" w:hAnsi="仿宋" w:eastAsia="仿宋" w:cs="仿宋"/>
          <w:b w:val="0"/>
          <w:bCs/>
          <w:color w:val="auto"/>
          <w:sz w:val="24"/>
          <w:szCs w:val="24"/>
          <w:highlight w:val="none"/>
          <w:lang w:val="zh-CN" w:eastAsia="zh-CN"/>
        </w:rPr>
        <w:t>）乙方</w:t>
      </w:r>
    </w:p>
    <w:p w14:paraId="7CC3CCC0">
      <w:pPr>
        <w:spacing w:line="500" w:lineRule="exact"/>
        <w:ind w:firstLine="720" w:firstLineChars="300"/>
        <w:rPr>
          <w:rFonts w:hint="eastAsia" w:ascii="仿宋" w:hAnsi="仿宋" w:eastAsia="仿宋" w:cs="仿宋"/>
          <w:b w:val="0"/>
          <w:bCs/>
          <w:color w:val="auto"/>
          <w:sz w:val="24"/>
          <w:szCs w:val="24"/>
          <w:highlight w:val="none"/>
          <w:lang w:val="zh-CN" w:eastAsia="zh-CN"/>
        </w:rPr>
      </w:pPr>
      <w:r>
        <w:rPr>
          <w:rFonts w:hint="eastAsia" w:ascii="仿宋" w:hAnsi="仿宋" w:eastAsia="仿宋" w:cs="仿宋"/>
          <w:b w:val="0"/>
          <w:bCs/>
          <w:color w:val="auto"/>
          <w:sz w:val="24"/>
          <w:szCs w:val="24"/>
          <w:highlight w:val="none"/>
          <w:lang w:val="en-US" w:eastAsia="zh-CN"/>
        </w:rPr>
        <w:t>1、乙方按甲方项目需求按期完成相关服务工作并接受甲方的监督和验收</w:t>
      </w:r>
      <w:r>
        <w:rPr>
          <w:rFonts w:hint="eastAsia" w:ascii="仿宋" w:hAnsi="仿宋" w:eastAsia="仿宋" w:cs="仿宋"/>
          <w:b w:val="0"/>
          <w:bCs/>
          <w:color w:val="auto"/>
          <w:sz w:val="24"/>
          <w:szCs w:val="24"/>
          <w:highlight w:val="none"/>
          <w:lang w:val="zh-CN" w:eastAsia="zh-CN"/>
        </w:rPr>
        <w:t>。</w:t>
      </w:r>
    </w:p>
    <w:p w14:paraId="6D85C4B4">
      <w:pPr>
        <w:spacing w:line="500" w:lineRule="exact"/>
        <w:ind w:firstLine="720" w:firstLineChars="300"/>
        <w:rPr>
          <w:rFonts w:hint="eastAsia" w:ascii="仿宋" w:hAnsi="仿宋" w:eastAsia="仿宋" w:cs="仿宋"/>
          <w:b w:val="0"/>
          <w:bCs/>
          <w:color w:val="auto"/>
          <w:sz w:val="24"/>
          <w:szCs w:val="24"/>
          <w:highlight w:val="none"/>
          <w:lang w:val="zh-CN" w:eastAsia="zh-CN"/>
        </w:rPr>
      </w:pPr>
      <w:r>
        <w:rPr>
          <w:rFonts w:hint="eastAsia" w:ascii="仿宋" w:hAnsi="仿宋" w:eastAsia="仿宋" w:cs="仿宋"/>
          <w:b w:val="0"/>
          <w:bCs/>
          <w:color w:val="auto"/>
          <w:sz w:val="24"/>
          <w:szCs w:val="24"/>
          <w:highlight w:val="none"/>
          <w:lang w:val="en-US" w:eastAsia="zh-CN"/>
        </w:rPr>
        <w:t>2、如因特殊情况，</w:t>
      </w:r>
      <w:r>
        <w:rPr>
          <w:rFonts w:hint="eastAsia" w:ascii="仿宋" w:hAnsi="仿宋" w:eastAsia="仿宋" w:cs="仿宋"/>
          <w:b w:val="0"/>
          <w:bCs/>
          <w:color w:val="auto"/>
          <w:sz w:val="24"/>
          <w:szCs w:val="24"/>
          <w:highlight w:val="none"/>
          <w:lang w:val="zh-CN" w:eastAsia="zh-CN"/>
        </w:rPr>
        <w:t>乙方</w:t>
      </w:r>
      <w:r>
        <w:rPr>
          <w:rFonts w:hint="eastAsia" w:ascii="仿宋" w:hAnsi="仿宋" w:eastAsia="仿宋" w:cs="仿宋"/>
          <w:b w:val="0"/>
          <w:bCs/>
          <w:color w:val="auto"/>
          <w:sz w:val="24"/>
          <w:szCs w:val="24"/>
          <w:highlight w:val="none"/>
          <w:lang w:val="en-US" w:eastAsia="zh-CN"/>
        </w:rPr>
        <w:t>需</w:t>
      </w:r>
      <w:r>
        <w:rPr>
          <w:rFonts w:hint="eastAsia" w:ascii="仿宋" w:hAnsi="仿宋" w:eastAsia="仿宋" w:cs="仿宋"/>
          <w:b w:val="0"/>
          <w:bCs/>
          <w:color w:val="auto"/>
          <w:sz w:val="24"/>
          <w:szCs w:val="24"/>
          <w:highlight w:val="none"/>
          <w:lang w:val="zh-CN" w:eastAsia="zh-CN"/>
        </w:rPr>
        <w:t>更换</w:t>
      </w:r>
      <w:r>
        <w:rPr>
          <w:rFonts w:hint="eastAsia" w:ascii="仿宋" w:hAnsi="仿宋" w:eastAsia="仿宋" w:cs="仿宋"/>
          <w:b w:val="0"/>
          <w:bCs/>
          <w:color w:val="auto"/>
          <w:sz w:val="24"/>
          <w:szCs w:val="24"/>
          <w:highlight w:val="none"/>
          <w:lang w:val="en-US" w:eastAsia="zh-CN"/>
        </w:rPr>
        <w:t>项目团队人员</w:t>
      </w:r>
      <w:r>
        <w:rPr>
          <w:rFonts w:hint="eastAsia" w:ascii="仿宋" w:hAnsi="仿宋" w:eastAsia="仿宋" w:cs="仿宋"/>
          <w:b w:val="0"/>
          <w:bCs/>
          <w:color w:val="auto"/>
          <w:sz w:val="24"/>
          <w:szCs w:val="24"/>
          <w:highlight w:val="none"/>
          <w:lang w:val="zh-CN" w:eastAsia="zh-CN"/>
        </w:rPr>
        <w:t>必须经甲方同意。</w:t>
      </w:r>
    </w:p>
    <w:p w14:paraId="12AAE963">
      <w:pPr>
        <w:spacing w:line="500" w:lineRule="exact"/>
        <w:ind w:firstLine="720" w:firstLineChars="300"/>
        <w:rPr>
          <w:rFonts w:hint="eastAsia" w:ascii="仿宋" w:hAnsi="仿宋" w:eastAsia="仿宋" w:cs="仿宋"/>
          <w:b w:val="0"/>
          <w:bCs/>
          <w:color w:val="auto"/>
          <w:sz w:val="24"/>
          <w:szCs w:val="24"/>
          <w:highlight w:val="none"/>
          <w:lang w:val="zh-CN" w:eastAsia="zh-CN"/>
        </w:rPr>
      </w:pPr>
      <w:r>
        <w:rPr>
          <w:rFonts w:hint="eastAsia" w:ascii="仿宋" w:hAnsi="仿宋" w:eastAsia="仿宋" w:cs="仿宋"/>
          <w:b w:val="0"/>
          <w:bCs/>
          <w:color w:val="auto"/>
          <w:sz w:val="24"/>
          <w:szCs w:val="24"/>
          <w:highlight w:val="none"/>
          <w:lang w:val="en-US" w:eastAsia="zh-CN"/>
        </w:rPr>
        <w:t>3、</w:t>
      </w:r>
      <w:r>
        <w:rPr>
          <w:rFonts w:hint="eastAsia" w:ascii="仿宋" w:hAnsi="仿宋" w:eastAsia="仿宋" w:cs="仿宋"/>
          <w:b w:val="0"/>
          <w:bCs/>
          <w:color w:val="auto"/>
          <w:sz w:val="24"/>
          <w:szCs w:val="24"/>
          <w:highlight w:val="none"/>
          <w:lang w:val="zh-CN" w:eastAsia="zh-CN"/>
        </w:rPr>
        <w:t>乙方在执行本合同期间及服务过程中所有安全问题（包括人员）由乙方</w:t>
      </w:r>
      <w:r>
        <w:rPr>
          <w:rFonts w:hint="eastAsia" w:ascii="仿宋" w:hAnsi="仿宋" w:eastAsia="仿宋" w:cs="仿宋"/>
          <w:b w:val="0"/>
          <w:bCs/>
          <w:color w:val="auto"/>
          <w:sz w:val="24"/>
          <w:szCs w:val="24"/>
          <w:highlight w:val="none"/>
          <w:lang w:val="en-US" w:eastAsia="zh-CN"/>
        </w:rPr>
        <w:t>自行</w:t>
      </w:r>
      <w:r>
        <w:rPr>
          <w:rFonts w:hint="eastAsia" w:ascii="仿宋" w:hAnsi="仿宋" w:eastAsia="仿宋" w:cs="仿宋"/>
          <w:b w:val="0"/>
          <w:bCs/>
          <w:color w:val="auto"/>
          <w:sz w:val="24"/>
          <w:szCs w:val="24"/>
          <w:highlight w:val="none"/>
          <w:lang w:val="zh-CN" w:eastAsia="zh-CN"/>
        </w:rPr>
        <w:t>负责。</w:t>
      </w:r>
    </w:p>
    <w:p w14:paraId="1824FD6A">
      <w:pPr>
        <w:adjustRightInd w:val="0"/>
        <w:snapToGrid w:val="0"/>
        <w:spacing w:line="50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六、</w:t>
      </w:r>
      <w:r>
        <w:rPr>
          <w:rFonts w:hint="eastAsia" w:ascii="仿宋" w:hAnsi="仿宋" w:eastAsia="仿宋" w:cs="仿宋"/>
          <w:b/>
          <w:color w:val="auto"/>
          <w:sz w:val="24"/>
          <w:szCs w:val="24"/>
          <w:highlight w:val="none"/>
        </w:rPr>
        <w:t>违约责任</w:t>
      </w:r>
    </w:p>
    <w:p w14:paraId="6F5F52AB">
      <w:pPr>
        <w:adjustRightInd w:val="0"/>
        <w:snapToGrid w:val="0"/>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一</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按《中华人民共和国民法典》中的相关条款执行。</w:t>
      </w:r>
    </w:p>
    <w:p w14:paraId="1DF5B5E8">
      <w:pPr>
        <w:adjustRightInd w:val="0"/>
        <w:snapToGrid w:val="0"/>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乙方未能按期履行合同或乙方未按合同要求提供</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质量不能满足</w:t>
      </w:r>
      <w:r>
        <w:rPr>
          <w:rFonts w:hint="eastAsia" w:ascii="仿宋" w:hAnsi="仿宋" w:eastAsia="仿宋" w:cs="仿宋"/>
          <w:color w:val="auto"/>
          <w:sz w:val="24"/>
          <w:szCs w:val="24"/>
          <w:highlight w:val="none"/>
          <w:lang w:val="en-US" w:eastAsia="zh-CN"/>
        </w:rPr>
        <w:t>项目</w:t>
      </w:r>
      <w:r>
        <w:rPr>
          <w:rFonts w:hint="eastAsia" w:ascii="仿宋" w:hAnsi="仿宋" w:eastAsia="仿宋" w:cs="仿宋"/>
          <w:color w:val="auto"/>
          <w:sz w:val="24"/>
          <w:szCs w:val="24"/>
          <w:highlight w:val="none"/>
        </w:rPr>
        <w:t>技术要求，甲方有权解除合同，并对乙方的违约行为进行追究，同时按《中华人民共和国民法典》《中华人民共和国政府采购法》以及陕西省相关法律法规等进行处罚，因此给甲方造成的一切损失均由乙方承担。</w:t>
      </w:r>
    </w:p>
    <w:p w14:paraId="0A10F012">
      <w:pPr>
        <w:adjustRightInd w:val="0"/>
        <w:snapToGrid w:val="0"/>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（三）乙方</w:t>
      </w:r>
      <w:r>
        <w:rPr>
          <w:rFonts w:hint="eastAsia" w:ascii="仿宋" w:hAnsi="仿宋" w:eastAsia="仿宋" w:cs="仿宋"/>
          <w:color w:val="auto"/>
          <w:sz w:val="24"/>
          <w:szCs w:val="24"/>
          <w:highlight w:val="none"/>
        </w:rPr>
        <w:t>不能完成或延后完成合同内容时，</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有权委外提供，所产生费用由</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承担，从合同付款总价中直接扣除或直接支付给对方。</w:t>
      </w:r>
    </w:p>
    <w:p w14:paraId="6B251EAC">
      <w:pPr>
        <w:adjustRightInd w:val="0"/>
        <w:snapToGrid w:val="0"/>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（四）乙方</w:t>
      </w:r>
      <w:r>
        <w:rPr>
          <w:rFonts w:hint="eastAsia" w:ascii="仿宋" w:hAnsi="仿宋" w:eastAsia="仿宋" w:cs="仿宋"/>
          <w:color w:val="auto"/>
          <w:sz w:val="24"/>
          <w:szCs w:val="24"/>
          <w:highlight w:val="none"/>
        </w:rPr>
        <w:t>在合同期间及服务过程中，给</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造成损失时，</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有权从合同款项中直接扣除或要求照价赔偿。造成重大责任事故或恶劣社会影响，</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将通过法律程序维权，并终止合同。</w:t>
      </w:r>
    </w:p>
    <w:p w14:paraId="1B71FE5F">
      <w:pPr>
        <w:spacing w:line="50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七、</w:t>
      </w:r>
      <w:r>
        <w:rPr>
          <w:rFonts w:hint="eastAsia" w:ascii="仿宋" w:hAnsi="仿宋" w:eastAsia="仿宋" w:cs="仿宋"/>
          <w:b/>
          <w:color w:val="auto"/>
          <w:sz w:val="24"/>
          <w:szCs w:val="24"/>
          <w:highlight w:val="none"/>
        </w:rPr>
        <w:t>合同生效及其它</w:t>
      </w:r>
    </w:p>
    <w:p w14:paraId="6AE92854">
      <w:pPr>
        <w:adjustRightInd w:val="0"/>
        <w:snapToGrid w:val="0"/>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（一）</w:t>
      </w:r>
      <w:r>
        <w:rPr>
          <w:rFonts w:hint="eastAsia" w:ascii="仿宋" w:hAnsi="仿宋" w:eastAsia="仿宋" w:cs="仿宋"/>
          <w:color w:val="auto"/>
          <w:sz w:val="24"/>
          <w:szCs w:val="24"/>
          <w:highlight w:val="none"/>
        </w:rPr>
        <w:t>由于不可抗力致使合同无法履行的，受阻一方应在不可抗力发生12小时内电话、传真或其他有效方式通知对方，并在不可抗力发生之日起15日内提供相关证明文件。</w:t>
      </w:r>
    </w:p>
    <w:p w14:paraId="3E14042C">
      <w:pPr>
        <w:adjustRightInd w:val="0"/>
        <w:snapToGrid w:val="0"/>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rPr>
        <w:t>本合同在不可抗力影响范围及其持续期间内将中止履行，本合同执行时间可根据中止的时间相应顺延，双方无须承担违约责任。不可抗力时间消除后，双方应就合同的履行及后续问题进行协商。</w:t>
      </w:r>
    </w:p>
    <w:p w14:paraId="0D9D317E">
      <w:pPr>
        <w:adjustRightInd w:val="0"/>
        <w:snapToGrid w:val="0"/>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rPr>
        <w:t>本合同中不可抗力指地震、台风、火灾、水灾、战争、罢工以及其他双方不能预见、不能避免并不能克服的客观情况。</w:t>
      </w:r>
    </w:p>
    <w:p w14:paraId="2CDF2A5A">
      <w:pPr>
        <w:adjustRightInd w:val="0"/>
        <w:snapToGrid w:val="0"/>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一方逾期履行后发生不可抗力的，不能免除责任。</w:t>
      </w:r>
    </w:p>
    <w:p w14:paraId="0886DE7D">
      <w:pPr>
        <w:spacing w:line="50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八、</w:t>
      </w:r>
      <w:r>
        <w:rPr>
          <w:rFonts w:hint="eastAsia" w:ascii="仿宋" w:hAnsi="仿宋" w:eastAsia="仿宋" w:cs="仿宋"/>
          <w:b/>
          <w:color w:val="auto"/>
          <w:sz w:val="24"/>
          <w:szCs w:val="24"/>
          <w:highlight w:val="none"/>
        </w:rPr>
        <w:t>合同争议解决的方式</w:t>
      </w:r>
    </w:p>
    <w:p w14:paraId="28BD7CAE">
      <w:pPr>
        <w:adjustRightInd w:val="0"/>
        <w:snapToGrid w:val="0"/>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本合同在履行过程中发生的争议，由甲、乙双方当事人协商解决；协商不成的，任意一方应向甲方住所地人民法院起诉。</w:t>
      </w:r>
    </w:p>
    <w:p w14:paraId="744037DB">
      <w:pPr>
        <w:adjustRightInd w:val="0"/>
        <w:snapToGrid w:val="0"/>
        <w:spacing w:line="50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其他事项</w:t>
      </w:r>
    </w:p>
    <w:p w14:paraId="33127DCB">
      <w:pPr>
        <w:adjustRightInd w:val="0"/>
        <w:snapToGrid w:val="0"/>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一</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本合同以及甲乙双方来往的文件的文字表达及解释、图纸等均以中文为准。</w:t>
      </w:r>
    </w:p>
    <w:p w14:paraId="391A5741">
      <w:pPr>
        <w:adjustRightInd w:val="0"/>
        <w:snapToGrid w:val="0"/>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rPr>
        <w:t>本合同经双方法定代表人或者委托代理人签字并加盖公章之日起生效。</w:t>
      </w:r>
    </w:p>
    <w:p w14:paraId="148CED26">
      <w:pPr>
        <w:adjustRightInd w:val="0"/>
        <w:snapToGrid w:val="0"/>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（三）竞争性磋商文件</w:t>
      </w:r>
      <w:r>
        <w:rPr>
          <w:rFonts w:hint="eastAsia" w:ascii="仿宋" w:hAnsi="仿宋" w:eastAsia="仿宋" w:cs="仿宋"/>
          <w:color w:val="auto"/>
          <w:sz w:val="24"/>
          <w:szCs w:val="24"/>
          <w:highlight w:val="none"/>
        </w:rPr>
        <w:t>、响应文件、澄清表（函）、合同附件均成为合同不可分割的部分。</w:t>
      </w:r>
    </w:p>
    <w:p w14:paraId="25F3F4E0">
      <w:pPr>
        <w:adjustRightInd w:val="0"/>
        <w:snapToGrid w:val="0"/>
        <w:spacing w:line="500" w:lineRule="exact"/>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rPr>
        <w:t>对本合同条款的任何变更、修改或增减，须经双方协商同意后签署补充协议，该补充协议作为本合同的组成部分并具有同等效力。</w:t>
      </w:r>
    </w:p>
    <w:p w14:paraId="4A66B675">
      <w:pPr>
        <w:spacing w:line="500" w:lineRule="exact"/>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lang w:val="en-US" w:eastAsia="zh-CN"/>
        </w:rPr>
        <w:t>（五）</w:t>
      </w:r>
      <w:r>
        <w:rPr>
          <w:rFonts w:hint="eastAsia" w:ascii="仿宋" w:hAnsi="仿宋" w:eastAsia="仿宋" w:cs="仿宋"/>
          <w:color w:val="auto"/>
          <w:sz w:val="24"/>
          <w:szCs w:val="24"/>
          <w:highlight w:val="none"/>
        </w:rPr>
        <w:t>本合同未尽事宜由双方另行协商，因执行本合同所发生的和本合同有关的一切争议，双方应友好协商解决。如经协商未达成一致，任何一方可向甲方住所地人民法院提请诉讼。</w:t>
      </w:r>
    </w:p>
    <w:p w14:paraId="53A7E570">
      <w:pPr>
        <w:tabs>
          <w:tab w:val="left" w:pos="84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（六）</w:t>
      </w:r>
      <w:r>
        <w:rPr>
          <w:rFonts w:hint="eastAsia" w:ascii="仿宋" w:hAnsi="仿宋" w:eastAsia="仿宋" w:cs="仿宋"/>
          <w:color w:val="auto"/>
          <w:sz w:val="24"/>
          <w:szCs w:val="24"/>
          <w:highlight w:val="none"/>
        </w:rPr>
        <w:t>发不正当竞争条约。乙方不得以任何形式违反国家关于不正当竞争的有关规定。对可能涉嫌不正当竞争的货物供应商，一经查证，坚决取消供应商资格，三年内不许参与医院的货物供销活动，并按上级的有关规定执行处罚。</w:t>
      </w:r>
    </w:p>
    <w:p w14:paraId="1AA11A79">
      <w:pPr>
        <w:tabs>
          <w:tab w:val="left" w:pos="84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七</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任何一方违约，除按照本协议约定承担违约责任外，还需赔偿另一方因此产生的所有费用，该费用包括但不限于为追究违约责任而产生的差旅费、公证费、评估费、律师费等。</w:t>
      </w:r>
    </w:p>
    <w:p w14:paraId="355038EA">
      <w:pPr>
        <w:tabs>
          <w:tab w:val="left" w:pos="84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（八）</w:t>
      </w: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份，甲方、乙方各执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及</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备案份。自甲乙双方法定代表人或者委托代理人签字并加盖公章后生效，合同执行完毕自动失效（合同的服务承诺仍然有效）。传真件具有同等法律效力。</w:t>
      </w:r>
    </w:p>
    <w:p w14:paraId="46766373">
      <w:pPr>
        <w:tabs>
          <w:tab w:val="left" w:pos="84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（九）</w:t>
      </w:r>
      <w:r>
        <w:rPr>
          <w:rFonts w:hint="eastAsia" w:ascii="仿宋" w:hAnsi="仿宋" w:eastAsia="仿宋" w:cs="仿宋"/>
          <w:color w:val="auto"/>
          <w:sz w:val="24"/>
          <w:szCs w:val="24"/>
          <w:highlight w:val="none"/>
        </w:rPr>
        <w:t>本合同约定的地址为双方有效送达地址，任意一方发生变更的，应当在变更之日起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日内向另一方通知，未通知另一方的，另一方按照约定地址发出的信件自发出之日起日内视为有效送达。</w:t>
      </w:r>
    </w:p>
    <w:p w14:paraId="07056E41">
      <w:pPr>
        <w:spacing w:line="500" w:lineRule="exact"/>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（十）</w:t>
      </w:r>
      <w:r>
        <w:rPr>
          <w:rFonts w:hint="eastAsia" w:ascii="仿宋" w:hAnsi="仿宋" w:eastAsia="仿宋" w:cs="仿宋"/>
          <w:color w:val="auto"/>
          <w:sz w:val="24"/>
          <w:szCs w:val="24"/>
          <w:highlight w:val="none"/>
        </w:rPr>
        <w:t>本合同未确定的事项，可后附补充约定。本合同之外的补充约定，与本合同具有同等的法律效力。</w:t>
      </w:r>
    </w:p>
    <w:p w14:paraId="260C71C0">
      <w:pPr>
        <w:rPr>
          <w:rFonts w:hint="eastAsia" w:ascii="仿宋" w:hAnsi="仿宋" w:eastAsia="仿宋" w:cs="仿宋"/>
          <w:color w:val="auto"/>
          <w:sz w:val="24"/>
          <w:szCs w:val="24"/>
          <w:highlight w:val="none"/>
        </w:rPr>
      </w:pPr>
    </w:p>
    <w:p w14:paraId="1FC2DB54">
      <w:pPr>
        <w:rPr>
          <w:rFonts w:hint="eastAsia" w:ascii="仿宋" w:hAnsi="仿宋" w:eastAsia="仿宋" w:cs="仿宋"/>
          <w:color w:val="auto"/>
          <w:sz w:val="24"/>
          <w:szCs w:val="24"/>
          <w:highlight w:val="none"/>
        </w:rPr>
      </w:pPr>
    </w:p>
    <w:p w14:paraId="67152665">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以下</w:t>
      </w:r>
      <w:r>
        <w:rPr>
          <w:rFonts w:hint="eastAsia" w:ascii="仿宋" w:hAnsi="仿宋" w:eastAsia="仿宋" w:cs="仿宋"/>
          <w:color w:val="auto"/>
          <w:sz w:val="24"/>
          <w:szCs w:val="24"/>
          <w:highlight w:val="none"/>
        </w:rPr>
        <w:t>无正文】</w:t>
      </w:r>
    </w:p>
    <w:p w14:paraId="4D08F102">
      <w:pPr>
        <w:adjustRightInd w:val="0"/>
        <w:snapToGrid w:val="0"/>
        <w:spacing w:line="500" w:lineRule="exact"/>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 陕西省文化和旅游厅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乙方：</w:t>
      </w:r>
    </w:p>
    <w:p w14:paraId="361FCB27">
      <w:pPr>
        <w:adjustRightInd w:val="0"/>
        <w:snapToGrid w:val="0"/>
        <w:spacing w:line="500" w:lineRule="exact"/>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地址： </w:t>
      </w:r>
    </w:p>
    <w:p w14:paraId="3930F3FA">
      <w:pPr>
        <w:adjustRightInd w:val="0"/>
        <w:snapToGrid w:val="0"/>
        <w:spacing w:line="500" w:lineRule="exact"/>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法定代表人（委托代理人）签字：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法定代表人（委托代理人）签字：</w:t>
      </w:r>
    </w:p>
    <w:p w14:paraId="37F8509A">
      <w:pPr>
        <w:adjustRightInd w:val="0"/>
        <w:snapToGrid w:val="0"/>
        <w:spacing w:line="500" w:lineRule="exact"/>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盖章：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盖章：</w:t>
      </w:r>
    </w:p>
    <w:p w14:paraId="0CC83D89">
      <w:pPr>
        <w:adjustRightInd w:val="0"/>
        <w:snapToGrid w:val="0"/>
        <w:spacing w:line="500" w:lineRule="exact"/>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w:t>
      </w:r>
      <w:r>
        <w:rPr>
          <w:rFonts w:hint="eastAsia" w:ascii="仿宋" w:hAnsi="仿宋" w:eastAsia="仿宋" w:cs="仿宋"/>
          <w:color w:val="auto"/>
          <w:sz w:val="24"/>
          <w:szCs w:val="24"/>
          <w:highlight w:val="none"/>
          <w:lang w:val="en-US" w:eastAsia="zh-CN"/>
        </w:rPr>
        <w:t>人及电话</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联系人</w:t>
      </w:r>
      <w:r>
        <w:rPr>
          <w:rFonts w:hint="eastAsia" w:ascii="仿宋" w:hAnsi="仿宋" w:eastAsia="仿宋" w:cs="仿宋"/>
          <w:color w:val="auto"/>
          <w:sz w:val="24"/>
          <w:szCs w:val="24"/>
          <w:highlight w:val="none"/>
          <w:lang w:val="en-US" w:eastAsia="zh-CN"/>
        </w:rPr>
        <w:t>及</w:t>
      </w:r>
      <w:r>
        <w:rPr>
          <w:rFonts w:hint="eastAsia" w:ascii="仿宋" w:hAnsi="仿宋" w:eastAsia="仿宋" w:cs="仿宋"/>
          <w:color w:val="auto"/>
          <w:sz w:val="24"/>
          <w:szCs w:val="24"/>
          <w:highlight w:val="none"/>
        </w:rPr>
        <w:t>电话：</w:t>
      </w:r>
    </w:p>
    <w:p w14:paraId="56E02245">
      <w:pPr>
        <w:adjustRightInd w:val="0"/>
        <w:snapToGrid w:val="0"/>
        <w:spacing w:line="500" w:lineRule="exact"/>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传真：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开户行及账号：</w:t>
      </w:r>
    </w:p>
    <w:p w14:paraId="272A73FB">
      <w:pPr>
        <w:ind w:firstLine="480" w:firstLineChars="200"/>
        <w:rPr>
          <w:color w:val="auto"/>
          <w:highlight w:val="none"/>
        </w:rPr>
      </w:pPr>
      <w:r>
        <w:rPr>
          <w:rFonts w:hint="eastAsia" w:ascii="仿宋" w:hAnsi="仿宋" w:eastAsia="仿宋" w:cs="仿宋"/>
          <w:color w:val="auto"/>
          <w:sz w:val="24"/>
          <w:szCs w:val="24"/>
          <w:highlight w:val="none"/>
        </w:rPr>
        <w:t xml:space="preserve">签订日期：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签订日期：</w:t>
      </w:r>
    </w:p>
    <w:p w14:paraId="0F4C71EF">
      <w:pPr>
        <w:pStyle w:val="8"/>
        <w:rPr>
          <w:rFonts w:hint="eastAsia" w:ascii="仿宋" w:hAnsi="仿宋" w:eastAsia="仿宋" w:cs="仿宋"/>
          <w:color w:val="auto"/>
          <w:highlight w:val="none"/>
          <w:lang w:val="en-US" w:eastAsia="zh-Hans"/>
        </w:rPr>
      </w:pPr>
    </w:p>
    <w:p w14:paraId="0398BC86"/>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DFEC">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4E927F">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D4E927F">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B857CD"/>
    <w:rsid w:val="22B857CD"/>
    <w:rsid w:val="31812F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7"/>
    <w:qFormat/>
    <w:uiPriority w:val="0"/>
    <w:pPr>
      <w:keepNext/>
      <w:keepLines/>
      <w:spacing w:line="360" w:lineRule="auto"/>
      <w:jc w:val="center"/>
      <w:outlineLvl w:val="0"/>
    </w:pPr>
    <w:rPr>
      <w:rFonts w:ascii="Times New Roman" w:hAnsi="Times New Roman" w:eastAsia="宋体"/>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30"/>
      <w:szCs w:val="30"/>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character" w:customStyle="1" w:styleId="7">
    <w:name w:val=" Char Char5"/>
    <w:link w:val="2"/>
    <w:uiPriority w:val="0"/>
    <w:rPr>
      <w:rFonts w:ascii="Times New Roman" w:hAnsi="Times New Roman" w:eastAsia="宋体"/>
      <w:b/>
      <w:kern w:val="44"/>
      <w:sz w:val="4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2025-08-05T08:45:00Z</dcterms:created>
  <dc:creator>墨瞳</dc:creator>
  <cp:lastModifiedBy>墨瞳</cp:lastModifiedBy>
  <dcterms:modified xsi:type="dcterms:W3CDTF">2025-08-05T08:45:39Z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5CA724F9F22E4B71AD2C9631F51A1297_11</vt:lpwstr>
  </property>
  <property fmtid="{D5CDD505-2E9C-101B-9397-08002B2CF9AE}" pid="4" name="KSOTemplateDocerSaveRecord">
    <vt:lpwstr>eyJoZGlkIjoiNDdhZmY2ZWI3MGM3ZDQ1ZDg5MDM4MzQ3NjA4YWJmMTAiLCJ1c2VySWQiOiIyMjc2NzU3NzIifQ==</vt:lpwstr>
  </property>
</Properties>
</file>