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版本号：HXGJXM2025-ZC--CS107920250805001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《“十五五”文化和旅游发展规划》编制项目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HXGJXM2025-ZC--CS1079</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《“十五五”文化和旅游发展规划》编制项目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《“十五五”文化和旅游发展规划》编制项目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文化强国、旅游强国以及推进中国式文化旅游现代化的背景下，立足国家“十五五”文化和旅游发展新形势、新要求、新任务，结合陕西发展实际，深入开展调研，梳理总结评估“十四五”期间陕西文化和旅游建设取得的发展成效，分析当前存在的问题，提出切实可行的发展目标、发展思路、主要任务、具体举措以及保障体系，谋划重点工程、重点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029-85261911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采购包1：1,075,360.00元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联系人：丁杰、康敏茹、张艳萍</w:t>
      </w:r>
    </w:p>
    <w:p>
      <w:pPr>
        <w:pStyle w:val="null3"/>
      </w:pPr>
      <w:r>
        <w:rPr>
          <w:rFonts w:ascii="仿宋_GB2312" w:hAnsi="仿宋_GB2312" w:cs="仿宋_GB2312" w:eastAsia="仿宋_GB2312"/>
        </w:rPr>
        <w:t>联系电话：029-88899970-862</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文化强国、旅游强国以及推进中国式文化旅游现代化的背景下，立足国家“十五五”文化和旅游发展新形势、新要求、新任务，结合陕西发展实际，深入开展调研，梳理总结评估“十四五”期间陕西文化和旅游建设取得的发展成效，分析当前存在的问题，提出切实可行的发展目标、发展思路、主要任务、具体举措以及保障体系，谋划重点工程、重点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1,075,360.00</w:t>
      </w:r>
    </w:p>
    <w:p>
      <w:pPr>
        <w:pStyle w:val="null3"/>
      </w:pPr>
      <w:r>
        <w:rPr>
          <w:rFonts w:ascii="仿宋_GB2312" w:hAnsi="仿宋_GB2312" w:cs="仿宋_GB2312" w:eastAsia="仿宋_GB2312"/>
        </w:rPr>
        <w:t>采购包最高限价（元）: 1,075,360.00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《“十五五”文化和旅游发展规划》编制项目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1,075,360.00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标的名称：《“十五五”文化和旅游发展规划》编制项目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1"/>
                <w:b/>
              </w:rPr>
              <w:t>一、</w:t>
            </w:r>
            <w:r>
              <w:rPr>
                <w:rFonts w:ascii="仿宋_GB2312" w:hAnsi="仿宋_GB2312" w:cs="仿宋_GB2312" w:eastAsia="仿宋_GB2312"/>
                <w:sz w:val="21"/>
                <w:b/>
              </w:rPr>
              <w:t>项目简介</w:t>
            </w:r>
          </w:p>
          <w:p>
            <w:pPr>
              <w:pStyle w:val="null3"/>
              <w:ind w:firstLine="420"/>
              <w:jc w:val="both"/>
            </w:pPr>
            <w:r>
              <w:rPr>
                <w:rFonts w:ascii="仿宋_GB2312" w:hAnsi="仿宋_GB2312" w:cs="仿宋_GB2312" w:eastAsia="仿宋_GB2312"/>
                <w:sz w:val="21"/>
              </w:rPr>
              <w:t>在文化强国、旅游强国以及推进中国式文化旅游现代化的背景下，立足国家</w:t>
            </w:r>
            <w:r>
              <w:rPr>
                <w:rFonts w:ascii="仿宋_GB2312" w:hAnsi="仿宋_GB2312" w:cs="仿宋_GB2312" w:eastAsia="仿宋_GB2312"/>
                <w:sz w:val="21"/>
              </w:rPr>
              <w:t>“十五五”文化和旅游发展新形势、新要求、新任务，结合陕西发展实际，深入开展调研，梳理总结评估“十四五”期间陕西文化和旅游建设取得的发展成效，分析当前存在的问题，提出切实可行的发展目标、发展思路、主要任务、具体举措以及保障体系，谋划重点工程、重点项目。</w:t>
            </w:r>
          </w:p>
          <w:p>
            <w:pPr>
              <w:pStyle w:val="null3"/>
              <w:jc w:val="left"/>
              <w:outlineLvl w:val="0"/>
            </w:pPr>
            <w:r>
              <w:rPr>
                <w:rFonts w:ascii="仿宋_GB2312" w:hAnsi="仿宋_GB2312" w:cs="仿宋_GB2312" w:eastAsia="仿宋_GB2312"/>
                <w:sz w:val="21"/>
                <w:b/>
              </w:rPr>
              <w:t>二、</w:t>
            </w:r>
            <w:r>
              <w:rPr>
                <w:rFonts w:ascii="仿宋_GB2312" w:hAnsi="仿宋_GB2312" w:cs="仿宋_GB2312" w:eastAsia="仿宋_GB2312"/>
                <w:sz w:val="21"/>
                <w:b/>
              </w:rPr>
              <w:t>服务内容及要求</w:t>
            </w:r>
          </w:p>
          <w:p>
            <w:pPr>
              <w:pStyle w:val="null3"/>
              <w:jc w:val="both"/>
              <w:outlineLvl w:val="1"/>
            </w:pPr>
            <w:r>
              <w:rPr>
                <w:rFonts w:ascii="仿宋_GB2312" w:hAnsi="仿宋_GB2312" w:cs="仿宋_GB2312" w:eastAsia="仿宋_GB2312"/>
                <w:sz w:val="21"/>
                <w:b/>
              </w:rPr>
              <w:t>（一）</w:t>
            </w:r>
            <w:r>
              <w:rPr>
                <w:rFonts w:ascii="仿宋_GB2312" w:hAnsi="仿宋_GB2312" w:cs="仿宋_GB2312" w:eastAsia="仿宋_GB2312"/>
                <w:sz w:val="21"/>
                <w:b/>
              </w:rPr>
              <w:t>技术要求</w:t>
            </w:r>
          </w:p>
          <w:p>
            <w:pPr>
              <w:pStyle w:val="null3"/>
              <w:spacing w:before="210"/>
              <w:ind w:right="135"/>
              <w:jc w:val="both"/>
            </w:pPr>
            <w:r>
              <w:rPr>
                <w:rFonts w:ascii="仿宋_GB2312" w:hAnsi="仿宋_GB2312" w:cs="仿宋_GB2312" w:eastAsia="仿宋_GB2312"/>
                <w:sz w:val="21"/>
              </w:rPr>
              <w:t>1.成果要求：编制的《陕西“十五五”文化和旅游发展规划》必须符合国家、省现行法律、法规、条例、规范及规划；符合国家和省文化和旅游产业发展的大政方针政策要求；符合陕西实际，具有前瞻性、引领性、可行性、操作性。</w:t>
            </w:r>
          </w:p>
          <w:p>
            <w:pPr>
              <w:pStyle w:val="null3"/>
              <w:jc w:val="both"/>
            </w:pPr>
            <w:r>
              <w:rPr>
                <w:rFonts w:ascii="仿宋_GB2312" w:hAnsi="仿宋_GB2312" w:cs="仿宋_GB2312" w:eastAsia="仿宋_GB2312"/>
                <w:sz w:val="21"/>
              </w:rPr>
              <w:t>2.采购项目包括但不限于：形成陕西“十四五”文化和旅游发展典型案例分析报告、陕西文化和旅游发展难点问题分析报告、陕西各市文旅发展情况报告、“十五五”文化和旅游各相关领域发展形势和思路研究报告、他省“十四五”经验案例调研报告、“十五五”文化和旅游发展规划稿本等。</w:t>
            </w:r>
          </w:p>
          <w:p>
            <w:pPr>
              <w:pStyle w:val="null3"/>
              <w:jc w:val="both"/>
              <w:outlineLvl w:val="1"/>
            </w:pPr>
            <w:r>
              <w:rPr>
                <w:rFonts w:ascii="仿宋_GB2312" w:hAnsi="仿宋_GB2312" w:cs="仿宋_GB2312" w:eastAsia="仿宋_GB2312"/>
                <w:sz w:val="21"/>
                <w:b/>
              </w:rPr>
              <w:t>（二）</w:t>
            </w:r>
            <w:r>
              <w:rPr>
                <w:rFonts w:ascii="仿宋_GB2312" w:hAnsi="仿宋_GB2312" w:cs="仿宋_GB2312" w:eastAsia="仿宋_GB2312"/>
                <w:sz w:val="21"/>
                <w:b/>
              </w:rPr>
              <w:t>项目进度</w:t>
            </w:r>
          </w:p>
          <w:tbl>
            <w:tblPr>
              <w:tblInd w:type="dxa" w:w="105"/>
              <w:tblBorders>
                <w:top w:val="none" w:color="000000" w:sz="4"/>
                <w:left w:val="none" w:color="000000" w:sz="4"/>
                <w:bottom w:val="none" w:color="000000" w:sz="4"/>
                <w:right w:val="none" w:color="000000" w:sz="4"/>
                <w:insideH w:val="none"/>
                <w:insideV w:val="none"/>
              </w:tblBorders>
            </w:tblPr>
            <w:tblGrid>
              <w:gridCol w:w="219"/>
              <w:gridCol w:w="501"/>
              <w:gridCol w:w="1832"/>
            </w:tblGrid>
            <w:tr>
              <w:tc>
                <w:tcPr>
                  <w:tcW w:type="dxa" w:w="2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21"/>
                    </w:rPr>
                    <w:t>序号</w:t>
                  </w:r>
                </w:p>
              </w:tc>
              <w:tc>
                <w:tcPr>
                  <w:tcW w:type="dxa" w:w="5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1"/>
                    </w:rPr>
                    <w:t>成果名称</w:t>
                  </w:r>
                </w:p>
              </w:tc>
              <w:tc>
                <w:tcPr>
                  <w:tcW w:type="dxa" w:w="18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firstLine="1050"/>
                  </w:pPr>
                  <w:r>
                    <w:rPr>
                      <w:rFonts w:ascii="仿宋_GB2312" w:hAnsi="仿宋_GB2312" w:cs="仿宋_GB2312" w:eastAsia="仿宋_GB2312"/>
                      <w:sz w:val="21"/>
                    </w:rPr>
                    <w:t>提交方式及时间</w:t>
                  </w: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21"/>
                    </w:rPr>
                    <w:t>1</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1"/>
                    </w:rPr>
                    <w:t>研究成果及草稿</w:t>
                  </w:r>
                </w:p>
              </w:tc>
              <w:tc>
                <w:tcPr>
                  <w:tcW w:type="dxa" w:w="1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210"/>
                  </w:pPr>
                  <w:r>
                    <w:rPr>
                      <w:rFonts w:ascii="仿宋_GB2312" w:hAnsi="仿宋_GB2312" w:cs="仿宋_GB2312" w:eastAsia="仿宋_GB2312"/>
                      <w:sz w:val="21"/>
                    </w:rPr>
                    <w:t>9月30日前，提交规划全省文旅发展情况调查，经典案例、重点难点等相关问题研究成果；提交《陕西“十五五”文化和旅游发展规划》初稿；</w:t>
                  </w: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pPr>
                  <w:r>
                    <w:rPr>
                      <w:rFonts w:ascii="仿宋_GB2312" w:hAnsi="仿宋_GB2312" w:cs="仿宋_GB2312" w:eastAsia="仿宋_GB2312"/>
                      <w:sz w:val="21"/>
                    </w:rPr>
                    <w:t>2</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1"/>
                    </w:rPr>
                    <w:t>内部征求意见稿</w:t>
                  </w:r>
                </w:p>
              </w:tc>
              <w:tc>
                <w:tcPr>
                  <w:tcW w:type="dxa" w:w="1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right="270"/>
                  </w:pPr>
                  <w:r>
                    <w:rPr>
                      <w:rFonts w:ascii="仿宋_GB2312" w:hAnsi="仿宋_GB2312" w:cs="仿宋_GB2312" w:eastAsia="仿宋_GB2312"/>
                      <w:sz w:val="21"/>
                    </w:rPr>
                    <w:t>2025年10月30日前：提交《陕西“十五五”文化和旅游发展规划》内部征求意见稿。</w:t>
                  </w: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1"/>
                    </w:rPr>
                    <w:t>3</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pPr>
                  <w:r>
                    <w:rPr>
                      <w:rFonts w:ascii="仿宋_GB2312" w:hAnsi="仿宋_GB2312" w:cs="仿宋_GB2312" w:eastAsia="仿宋_GB2312"/>
                      <w:sz w:val="21"/>
                    </w:rPr>
                    <w:t>征求意见稿</w:t>
                  </w:r>
                </w:p>
              </w:tc>
              <w:tc>
                <w:tcPr>
                  <w:tcW w:type="dxa" w:w="1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1"/>
                    </w:rPr>
                    <w:t>2025年11月30日前：提交征求意见稿。</w:t>
                  </w: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1"/>
                    </w:rPr>
                    <w:t>4</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pPr>
                  <w:r>
                    <w:rPr>
                      <w:rFonts w:ascii="仿宋_GB2312" w:hAnsi="仿宋_GB2312" w:cs="仿宋_GB2312" w:eastAsia="仿宋_GB2312"/>
                      <w:sz w:val="21"/>
                    </w:rPr>
                    <w:t>印制定稿</w:t>
                  </w:r>
                </w:p>
              </w:tc>
              <w:tc>
                <w:tcPr>
                  <w:tcW w:type="dxa" w:w="18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1"/>
                    </w:rPr>
                    <w:t>2026年4月30日前，提交规划文本印制定稿。</w:t>
                  </w:r>
                </w:p>
              </w:tc>
            </w:tr>
          </w:tbl>
          <w:p>
            <w:pPr>
              <w:pStyle w:val="null3"/>
              <w:numPr>
                <w:ilvl w:val="0"/>
                <w:numId w:val="1"/>
              </w:numPr>
              <w:jc w:val="both"/>
            </w:pPr>
            <w:r>
              <w:rPr>
                <w:rFonts w:ascii="仿宋_GB2312" w:hAnsi="仿宋_GB2312" w:cs="仿宋_GB2312" w:eastAsia="仿宋_GB2312"/>
                <w:sz w:val="21"/>
                <w:b/>
              </w:rPr>
              <w:t>（三）项目成果</w:t>
            </w:r>
          </w:p>
          <w:tbl>
            <w:tblPr>
              <w:tblInd w:type="dxa" w:w="105"/>
              <w:tblBorders>
                <w:top w:val="none" w:color="000000" w:sz="4"/>
                <w:left w:val="none" w:color="000000" w:sz="4"/>
                <w:bottom w:val="none" w:color="000000" w:sz="4"/>
                <w:right w:val="none" w:color="000000" w:sz="4"/>
                <w:insideH w:val="none"/>
                <w:insideV w:val="none"/>
              </w:tblBorders>
            </w:tblPr>
            <w:tblGrid>
              <w:gridCol w:w="235"/>
              <w:gridCol w:w="602"/>
              <w:gridCol w:w="494"/>
              <w:gridCol w:w="532"/>
              <w:gridCol w:w="688"/>
            </w:tblGrid>
            <w:tr>
              <w:tc>
                <w:tcPr>
                  <w:tcW w:type="dxa" w:w="2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pPr>
                  <w:r>
                    <w:rPr>
                      <w:rFonts w:ascii="仿宋_GB2312" w:hAnsi="仿宋_GB2312" w:cs="仿宋_GB2312" w:eastAsia="仿宋_GB2312"/>
                      <w:sz w:val="21"/>
                    </w:rPr>
                    <w:t>序号</w:t>
                  </w:r>
                </w:p>
              </w:tc>
              <w:tc>
                <w:tcPr>
                  <w:tcW w:type="dxa" w:w="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right="270" w:firstLine="210"/>
                  </w:pPr>
                  <w:r>
                    <w:rPr>
                      <w:rFonts w:ascii="仿宋_GB2312" w:hAnsi="仿宋_GB2312" w:cs="仿宋_GB2312" w:eastAsia="仿宋_GB2312"/>
                      <w:sz w:val="21"/>
                    </w:rPr>
                    <w:t>成果名称</w:t>
                  </w:r>
                </w:p>
              </w:tc>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pPr>
                  <w:r>
                    <w:rPr>
                      <w:rFonts w:ascii="仿宋_GB2312" w:hAnsi="仿宋_GB2312" w:cs="仿宋_GB2312" w:eastAsia="仿宋_GB2312"/>
                      <w:sz w:val="21"/>
                    </w:rPr>
                    <w:t>规格</w:t>
                  </w:r>
                </w:p>
              </w:tc>
              <w:tc>
                <w:tcPr>
                  <w:tcW w:type="dxa" w:w="5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pPr>
                  <w:r>
                    <w:rPr>
                      <w:rFonts w:ascii="仿宋_GB2312" w:hAnsi="仿宋_GB2312" w:cs="仿宋_GB2312" w:eastAsia="仿宋_GB2312"/>
                      <w:sz w:val="21"/>
                    </w:rPr>
                    <w:t>数量</w:t>
                  </w:r>
                </w:p>
              </w:tc>
              <w:tc>
                <w:tcPr>
                  <w:tcW w:type="dxa" w:w="6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pP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注</w:t>
                  </w: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pPr>
                  <w:r>
                    <w:rPr>
                      <w:rFonts w:ascii="仿宋_GB2312" w:hAnsi="仿宋_GB2312" w:cs="仿宋_GB2312" w:eastAsia="仿宋_GB2312"/>
                      <w:sz w:val="21"/>
                    </w:rPr>
                    <w:t>1</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right="270" w:firstLine="210"/>
                  </w:pPr>
                  <w:r>
                    <w:rPr>
                      <w:rFonts w:ascii="仿宋_GB2312" w:hAnsi="仿宋_GB2312" w:cs="仿宋_GB2312" w:eastAsia="仿宋_GB2312"/>
                      <w:sz w:val="21"/>
                    </w:rPr>
                    <w:t>规划文本</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pPr>
                  <w:r>
                    <w:rPr>
                      <w:rFonts w:ascii="仿宋_GB2312" w:hAnsi="仿宋_GB2312" w:cs="仿宋_GB2312" w:eastAsia="仿宋_GB2312"/>
                      <w:sz w:val="21"/>
                    </w:rPr>
                    <w:t>A4胶状</w:t>
                  </w: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pPr>
                  <w:r>
                    <w:rPr>
                      <w:rFonts w:ascii="仿宋_GB2312" w:hAnsi="仿宋_GB2312" w:cs="仿宋_GB2312" w:eastAsia="仿宋_GB2312"/>
                      <w:sz w:val="21"/>
                    </w:rPr>
                    <w:t>300</w:t>
                  </w:r>
                </w:p>
              </w:tc>
              <w:tc>
                <w:tcPr>
                  <w:tcW w:type="dxa" w:w="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pPr>
                  <w:r>
                    <w:rPr>
                      <w:rFonts w:ascii="仿宋_GB2312" w:hAnsi="仿宋_GB2312" w:cs="仿宋_GB2312" w:eastAsia="仿宋_GB2312"/>
                      <w:sz w:val="21"/>
                    </w:rPr>
                    <w:t>附电子版</w:t>
                  </w:r>
                </w:p>
              </w:tc>
            </w:tr>
          </w:tbl>
          <w:p>
            <w:pPr>
              <w:pStyle w:val="null3"/>
              <w:jc w:val="both"/>
              <w:outlineLvl w:val="1"/>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）其他注意事项</w:t>
            </w:r>
          </w:p>
          <w:p>
            <w:pPr>
              <w:pStyle w:val="null3"/>
              <w:jc w:val="both"/>
            </w:pPr>
            <w:r>
              <w:rPr>
                <w:rFonts w:ascii="仿宋_GB2312" w:hAnsi="仿宋_GB2312" w:cs="仿宋_GB2312" w:eastAsia="仿宋_GB2312"/>
                <w:sz w:val="21"/>
              </w:rPr>
              <w:t>1.其他要求：供应商应根据各阶段工作计划，按期完成调研、文本起草、规划衔接、修改论证、汇报演示等工作，并按照采购人要求提供相应数量的规划文本及相关材料；配合采购人组织专家评审、报批等相关工作。</w:t>
            </w:r>
          </w:p>
          <w:p>
            <w:pPr>
              <w:pStyle w:val="null3"/>
              <w:jc w:val="both"/>
            </w:pPr>
            <w:r>
              <w:rPr>
                <w:rFonts w:ascii="仿宋_GB2312" w:hAnsi="仿宋_GB2312" w:cs="仿宋_GB2312" w:eastAsia="仿宋_GB2312"/>
                <w:sz w:val="21"/>
              </w:rPr>
              <w:t>2.标的验收：通过专家评审，达到采购人预期。</w:t>
            </w:r>
          </w:p>
          <w:p>
            <w:pPr>
              <w:pStyle w:val="null3"/>
              <w:jc w:val="both"/>
            </w:pPr>
            <w:r>
              <w:rPr>
                <w:rFonts w:ascii="仿宋_GB2312" w:hAnsi="仿宋_GB2312" w:cs="仿宋_GB2312" w:eastAsia="仿宋_GB2312"/>
                <w:sz w:val="21"/>
              </w:rPr>
              <w:t>3.投标人必须保证项目组成人员的到位情况并保证组成人员经验丰富，具有执行项目所需的资质和能力且具有稳定性，保证项目的顺利进行。未经采购人书面许可投标人不得随意变动项目组成人员，经采购人要求调整投标人项目组成员的，投标人应调换其他优秀的有资质的人员为采购人提供服务。</w:t>
            </w:r>
          </w:p>
          <w:p>
            <w:pPr>
              <w:pStyle w:val="null3"/>
              <w:jc w:val="left"/>
              <w:outlineLvl w:val="0"/>
            </w:pPr>
            <w:r>
              <w:rPr>
                <w:rFonts w:ascii="仿宋_GB2312" w:hAnsi="仿宋_GB2312" w:cs="仿宋_GB2312" w:eastAsia="仿宋_GB2312"/>
                <w:sz w:val="21"/>
                <w:b/>
              </w:rPr>
              <w:t>三、</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服务期：自合同签订之日起至</w:t>
            </w:r>
            <w:r>
              <w:rPr>
                <w:rFonts w:ascii="仿宋_GB2312" w:hAnsi="仿宋_GB2312" w:cs="仿宋_GB2312" w:eastAsia="仿宋_GB2312"/>
                <w:sz w:val="21"/>
              </w:rPr>
              <w:t>项目结束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项目实施地点：</w:t>
            </w:r>
            <w:r>
              <w:rPr>
                <w:rFonts w:ascii="仿宋_GB2312" w:hAnsi="仿宋_GB2312" w:cs="仿宋_GB2312" w:eastAsia="仿宋_GB2312"/>
                <w:sz w:val="21"/>
              </w:rPr>
              <w:t>采购人指定地点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合同价款：合同总价一次性包死，不受市场价格变化因素的影响。</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款项结算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付款方式：自合同签订之日起</w:t>
            </w:r>
            <w:r>
              <w:rPr>
                <w:rFonts w:ascii="仿宋_GB2312" w:hAnsi="仿宋_GB2312" w:cs="仿宋_GB2312" w:eastAsia="仿宋_GB2312"/>
                <w:sz w:val="21"/>
              </w:rPr>
              <w:t>10日</w:t>
            </w:r>
            <w:r>
              <w:rPr>
                <w:rFonts w:ascii="仿宋_GB2312" w:hAnsi="仿宋_GB2312" w:cs="仿宋_GB2312" w:eastAsia="仿宋_GB2312"/>
                <w:sz w:val="21"/>
              </w:rPr>
              <w:t>内付</w:t>
            </w:r>
            <w:r>
              <w:rPr>
                <w:rFonts w:ascii="仿宋_GB2312" w:hAnsi="仿宋_GB2312" w:cs="仿宋_GB2312" w:eastAsia="仿宋_GB2312"/>
                <w:sz w:val="21"/>
              </w:rPr>
              <w:t>70%款项，</w:t>
            </w:r>
            <w:r>
              <w:rPr>
                <w:rFonts w:ascii="仿宋_GB2312" w:hAnsi="仿宋_GB2312" w:cs="仿宋_GB2312" w:eastAsia="仿宋_GB2312"/>
                <w:sz w:val="21"/>
              </w:rPr>
              <w:t>项目</w:t>
            </w:r>
            <w:r>
              <w:rPr>
                <w:rFonts w:ascii="仿宋_GB2312" w:hAnsi="仿宋_GB2312" w:cs="仿宋_GB2312" w:eastAsia="仿宋_GB2312"/>
                <w:sz w:val="21"/>
              </w:rPr>
              <w:t>完成后支付其余</w:t>
            </w:r>
            <w:r>
              <w:rPr>
                <w:rFonts w:ascii="仿宋_GB2312" w:hAnsi="仿宋_GB2312" w:cs="仿宋_GB2312" w:eastAsia="仿宋_GB2312"/>
                <w:sz w:val="21"/>
              </w:rPr>
              <w:t>30%款项。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支付方式：银行转账。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结算方式：成交单位持成交通知书、合同、发票，与采购人结算。甲方付款前，乙方应向甲方提供经甲方财务认可的等额正式发票，因乙方开具发票不及时，不规范，不合法或涉嫌虚开发票导致甲方付款延迟的，甲方不承担责任；引起税务问题的，乙方需依法向甲方重新开具发票，并就因此给甲方造成实际损失承担赔偿责任，包括但不限于税款、滞纳金、罚款等相关损失。</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服务质量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服务期间，项目所产生的费用均由成交供应商承担。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符合质量标准和相关规定要求。</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验收需求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服务验收在采购人指定地点进行；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服务质量必须与合同要求一致，未按合同或采购文件要求提供服务或服务质量不能满足采购人要求，采购单位有权终止合同，甚至对供应商违约行为进行追究；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验收依据：</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合同文本；</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响应文件及澄清函、采购文件；</w:t>
            </w:r>
          </w:p>
          <w:p>
            <w:pPr>
              <w:pStyle w:val="null3"/>
              <w:jc w:val="both"/>
            </w:pPr>
            <w:r>
              <w:rPr>
                <w:rFonts w:ascii="仿宋_GB2312" w:hAnsi="仿宋_GB2312" w:cs="仿宋_GB2312" w:eastAsia="仿宋_GB2312"/>
                <w:sz w:val="21"/>
              </w:rPr>
              <w:t>③国家和行业制定的相应的标准和规范。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满足采购人要求，采购单位有权终止合同，甚至对供应商违约行为进行追究； (3)验收依据： ①合同文本； ②响应文件及澄清函、采购文件； ③国家和行业制定的相应的标准和规范。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(1)提供合格有效的法人或者其他组织的营业执照等证明文件，自然人的身份证明；供应商是法人或其他组织的应提供营业执照等证明文件，供应商是自然人的应提供有效的自然人身份证明。(2)提供2023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磋商截止日前一年内任意一个月的依法缴纳税收的完税证明，完税证明应有税务机关或代收机关的公章或业务专用章。依法免税或无须缴纳税收的供应商，应提供相应证明文件；(4)提供磋商截止日前一年内已缴存的至少一个月的社会保障资金缴存单据或社保机构开具的社会保险参保缴费情况证明，依法不需要缴纳社会保 障资金的单位应提供相关证明材料；(5)提供具有履行合同所必需的设备和专业技术能力的承诺；(6)参加政府采购活动前3年内，在经营活动中没有重大违法记录的书面声明。 本项目不接受联合体投标。</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商务应答表 其它资料.docx 报价表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中小企业声明函 商务应答表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中小企业声明函 商务应答表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中小企业声明函 商务应答表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中小企业声明函 商务应答表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商务应答表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中小企业声明函 商务应答表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中小企业声明函 商务应答表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中小企业声明函 商务应答表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针对本项目有①项目理解和认识、②工作思路和原则、③专业资料搜集和内容梳理，共3项。供应商提供的各项方案内容完全满足采购需求计2分，评审内容每缺一项扣2分，每项方案有缺陷未完全紧扣评审标准的每处扣1分，扣完为止；每项内容最多扣2分。【缺陷是指项目名称错误、地点区域错误、内容与 本项目需求无关、方案内容矛盾或表述前后不一致、仅有框架或标题，无与本项目相关的具体描述、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根据供应商针对本项目制定的项目服务方案进行综合评分，包含： ①总结陕西省“十四五”文化和旅游发展成效及存在的问题； ②陕西省“十五五”文化和旅游发展的背景形势； ③陕西省“十五五”文化和旅游发展目标； ④陕西省“十五五”文化和旅游发展思路； ⑤陕西省“十五五”文化和旅游发展的空间布局； ⑥陕西省“十五五”文化和旅游发展的主要任务；⑦陕西省“十五五”文化和旅游发展的具体举措及保障体系； ⑧陕西省“十五五”文化和旅游发展的难点、突破点 以上方案满足采购文件要求且完整不缺项得 40分，每缺少一项内容扣 5 分，每项中每有一处缺陷的扣2分，扣完为止；每项内容最多扣5分。 【缺陷是指项目名称错误、地点区域错误、内容与本项目需求无关、方案内容矛盾或表述前后不一致、仅有框架或标题，无与本项目相关的具体描述、明显复制其他项目内容等任意一种情形】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根据供应商针对本项目制定的保障方案进行综合评分，包含： ①专业技术准备； ②项目实施进度计划及工作流程； ③成果质量保障措施； ④后续服务内容； ⑤保密服务方案。 以上方案满足采购文件要求且完整不缺项得20分，每缺少一项内容扣4 分，每项中每有一处缺陷 的扣 2 分，扣完为止；每项内容最多扣 4分。 【缺陷是指项目名称错误、地点区域错误、内容与 本项目需求无关、方案内容矛盾或表述前后不一致、仅有框架或标题，无与本项目相关的具体描述、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重难点分析及应对措施</w:t>
            </w:r>
          </w:p>
        </w:tc>
        <w:tc>
          <w:tcPr>
            <w:tcW w:type="dxa" w:w="2492"/>
          </w:tcPr>
          <w:p>
            <w:pPr>
              <w:pStyle w:val="null3"/>
            </w:pPr>
            <w:r>
              <w:rPr>
                <w:rFonts w:ascii="仿宋_GB2312" w:hAnsi="仿宋_GB2312" w:cs="仿宋_GB2312" w:eastAsia="仿宋_GB2312"/>
              </w:rPr>
              <w:t>针对本项目提供①重难点分析、②应对措施，共2项。供应商提供的各项方案内容完全满足采购需求计2分，评审内容每缺一项扣2分，每项方案有缺陷未完全紧扣评审标准的每处扣1分，扣完为止；每项内容最多扣2分。【缺陷是指项目名称错误、地点区域错误、内容与 本项目需求无关、方案内容矛盾或表述前后不一致、仅有框架或标题，无与本项目相关的具体描述、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人员配置及架构</w:t>
            </w:r>
          </w:p>
        </w:tc>
        <w:tc>
          <w:tcPr>
            <w:tcW w:type="dxa" w:w="2492"/>
          </w:tcPr>
          <w:p>
            <w:pPr>
              <w:pStyle w:val="null3"/>
            </w:pPr>
            <w:r>
              <w:rPr>
                <w:rFonts w:ascii="仿宋_GB2312" w:hAnsi="仿宋_GB2312" w:cs="仿宋_GB2312" w:eastAsia="仿宋_GB2312"/>
              </w:rPr>
              <w:t>针对本项目需求提供人员管理组织架构，并提供项目组人员的相关经验等证明材料。 1.人员具有文化和旅游领域研究背景，既懂文化又懂旅游，并具有规划研究编制经验。人员经验资历丰富、安排充足完善、分工明确合理、证明材料齐全、便于项目实施得10分； 2.人员安排相对充足、分工相对明确合理、证明材料齐全得7分； 3.人员安排相对较差、证明材料不全得4分。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供应商提供自2022年7月（以合同签订时间为准）至今类似的项目业绩(每提供一份得2分，最高得10分）。证明（以磋商响应文件中所附合同复印件加盖公章为准，弄虚作假者取消其成交资格）。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