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磋商文件要求</w:t>
            </w:r>
          </w:p>
        </w:tc>
        <w:tc>
          <w:tcPr>
            <w:tcW w:w="2391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响应产品技术参数</w:t>
            </w:r>
          </w:p>
        </w:tc>
        <w:tc>
          <w:tcPr>
            <w:tcW w:w="2391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磋商</w:t>
      </w:r>
      <w:bookmarkStart w:id="1" w:name="_GoBack"/>
      <w:bookmarkEnd w:id="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14344FD"/>
    <w:rsid w:val="025715A1"/>
    <w:rsid w:val="08C80289"/>
    <w:rsid w:val="08F8265D"/>
    <w:rsid w:val="0F0547E3"/>
    <w:rsid w:val="0FFA5212"/>
    <w:rsid w:val="10263B85"/>
    <w:rsid w:val="1B8D7C8F"/>
    <w:rsid w:val="1CB0789D"/>
    <w:rsid w:val="246D0A09"/>
    <w:rsid w:val="45921F25"/>
    <w:rsid w:val="682F7FFB"/>
    <w:rsid w:val="6BD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2025-03-17T03:42:35Z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eyJoZGlkIjoiMmQ3YjRkMGE3NzQxYjczMTVhMGMzZWI2OGY4N2I2NjYiLCJ1c2VySWQiOiIyNDE1Nzk0OTUifQ==</vt:lpwstr>
  </property>
</Properties>
</file>