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4D9D6">
      <w:pPr>
        <w:wordWrap/>
        <w:jc w:val="left"/>
        <w:rPr>
          <w:rFonts w:hint="eastAsia" w:ascii="黑体" w:hAnsi="黑体" w:eastAsia="黑体" w:cs="黑体"/>
          <w:sz w:val="24"/>
        </w:rPr>
      </w:pPr>
      <w:r>
        <w:rPr>
          <w:rFonts w:hint="eastAsia" w:ascii="黑体" w:hAnsi="宋体" w:eastAsia="黑体"/>
          <w:b/>
          <w:sz w:val="24"/>
        </w:rPr>
        <w:t>合同编号：</w:t>
      </w:r>
      <w:r>
        <w:rPr>
          <w:rFonts w:hint="eastAsia" w:ascii="黑体" w:hAnsi="黑体" w:eastAsia="黑体" w:cs="黑体"/>
          <w:b/>
          <w:bCs/>
          <w:sz w:val="24"/>
        </w:rPr>
        <w:t xml:space="preserve"> </w:t>
      </w:r>
    </w:p>
    <w:p w14:paraId="489CA85A">
      <w:pPr>
        <w:jc w:val="right"/>
        <w:rPr>
          <w:rFonts w:hint="eastAsia" w:ascii="黑体" w:hAnsi="宋体" w:eastAsia="黑体"/>
          <w:b/>
          <w:sz w:val="24"/>
        </w:rPr>
      </w:pPr>
    </w:p>
    <w:p w14:paraId="3E1A1156">
      <w:pPr>
        <w:spacing w:line="360" w:lineRule="auto"/>
        <w:jc w:val="center"/>
        <w:rPr>
          <w:rFonts w:hint="eastAsia" w:ascii="宋体" w:hAnsi="宋体" w:eastAsia="宋体" w:cs="宋体"/>
          <w:b/>
          <w:color w:val="000000"/>
          <w:sz w:val="36"/>
          <w:szCs w:val="36"/>
        </w:rPr>
      </w:pPr>
    </w:p>
    <w:p w14:paraId="6CDE8206">
      <w:pPr>
        <w:spacing w:line="360" w:lineRule="auto"/>
        <w:jc w:val="center"/>
        <w:rPr>
          <w:rFonts w:hint="eastAsia" w:ascii="宋体" w:hAnsi="宋体" w:eastAsia="宋体" w:cs="宋体"/>
          <w:b/>
          <w:color w:val="000000"/>
          <w:sz w:val="36"/>
          <w:szCs w:val="36"/>
        </w:rPr>
      </w:pPr>
      <w:r>
        <w:rPr>
          <w:rFonts w:hint="eastAsia" w:ascii="宋体" w:hAnsi="宋体" w:eastAsia="宋体" w:cs="宋体"/>
          <w:b/>
          <w:color w:val="000000"/>
          <w:sz w:val="36"/>
          <w:szCs w:val="36"/>
        </w:rPr>
        <w:t>西安科技大学</w:t>
      </w:r>
    </w:p>
    <w:p w14:paraId="25D09DB8">
      <w:pPr>
        <w:spacing w:line="360" w:lineRule="auto"/>
        <w:jc w:val="center"/>
        <w:rPr>
          <w:rFonts w:hint="eastAsia" w:ascii="宋体" w:hAnsi="宋体" w:eastAsia="宋体" w:cs="宋体"/>
          <w:b/>
          <w:color w:val="000000"/>
          <w:sz w:val="36"/>
          <w:szCs w:val="36"/>
          <w:lang w:val="en-US" w:eastAsia="zh-CN"/>
        </w:rPr>
      </w:pPr>
      <w:r>
        <w:rPr>
          <w:rFonts w:hint="eastAsia" w:ascii="宋体" w:hAnsi="宋体" w:eastAsia="宋体" w:cs="宋体"/>
          <w:b/>
          <w:color w:val="000000"/>
          <w:sz w:val="36"/>
          <w:szCs w:val="36"/>
        </w:rPr>
        <w:t>多场耦合复合致裂增透三轴实验系统采购项目</w:t>
      </w:r>
      <w:r>
        <w:rPr>
          <w:rFonts w:hint="eastAsia" w:ascii="宋体" w:hAnsi="宋体" w:eastAsia="宋体" w:cs="宋体"/>
          <w:b/>
          <w:color w:val="000000"/>
          <w:sz w:val="36"/>
          <w:szCs w:val="36"/>
          <w:lang w:val="en-US" w:eastAsia="zh-CN"/>
        </w:rPr>
        <w:t>|（二次）</w:t>
      </w:r>
    </w:p>
    <w:p w14:paraId="45D216E2">
      <w:pPr>
        <w:spacing w:line="360" w:lineRule="auto"/>
        <w:rPr>
          <w:rFonts w:hint="eastAsia" w:ascii="宋体" w:hAnsi="宋体" w:eastAsia="宋体" w:cs="宋体"/>
          <w:b/>
          <w:color w:val="000000"/>
          <w:sz w:val="36"/>
          <w:szCs w:val="36"/>
        </w:rPr>
      </w:pPr>
    </w:p>
    <w:p w14:paraId="78C22A81">
      <w:pPr>
        <w:spacing w:line="360" w:lineRule="auto"/>
        <w:rPr>
          <w:rFonts w:hint="eastAsia" w:ascii="宋体" w:hAnsi="宋体" w:eastAsia="宋体" w:cs="宋体"/>
          <w:b/>
          <w:color w:val="000000"/>
          <w:sz w:val="36"/>
          <w:szCs w:val="36"/>
        </w:rPr>
      </w:pPr>
    </w:p>
    <w:p w14:paraId="512249F4">
      <w:pPr>
        <w:spacing w:line="360" w:lineRule="auto"/>
        <w:jc w:val="center"/>
        <w:rPr>
          <w:rFonts w:hint="eastAsia" w:ascii="宋体" w:hAnsi="宋体"/>
          <w:b/>
          <w:bCs/>
          <w:color w:val="000000"/>
          <w:sz w:val="84"/>
          <w:szCs w:val="84"/>
        </w:rPr>
      </w:pPr>
      <w:r>
        <w:rPr>
          <w:rFonts w:hint="eastAsia" w:ascii="宋体" w:hAnsi="宋体"/>
          <w:b/>
          <w:bCs/>
          <w:color w:val="000000"/>
          <w:sz w:val="84"/>
          <w:szCs w:val="84"/>
        </w:rPr>
        <w:t>供货合同</w:t>
      </w:r>
    </w:p>
    <w:p w14:paraId="74D44D1A">
      <w:pPr>
        <w:spacing w:line="360" w:lineRule="auto"/>
        <w:ind w:firstLine="2570" w:firstLineChars="800"/>
        <w:rPr>
          <w:rFonts w:hint="eastAsia" w:ascii="宋体" w:hAnsi="宋体"/>
          <w:b/>
          <w:bCs/>
          <w:color w:val="000000"/>
          <w:sz w:val="32"/>
          <w:szCs w:val="32"/>
          <w:u w:val="single"/>
        </w:rPr>
      </w:pPr>
      <w:r>
        <w:rPr>
          <w:rFonts w:hint="eastAsia" w:ascii="宋体" w:hAnsi="宋体"/>
          <w:b/>
          <w:bCs/>
          <w:color w:val="000000"/>
          <w:sz w:val="32"/>
          <w:szCs w:val="32"/>
        </w:rPr>
        <w:t>项目编号：</w:t>
      </w:r>
      <w:r>
        <w:rPr>
          <w:rFonts w:hint="eastAsia" w:ascii="宋体" w:hAnsi="宋体"/>
          <w:b/>
          <w:bCs/>
          <w:color w:val="000000"/>
          <w:sz w:val="32"/>
          <w:szCs w:val="32"/>
          <w:u w:val="single"/>
        </w:rPr>
        <w:t xml:space="preserve">           </w:t>
      </w:r>
    </w:p>
    <w:p w14:paraId="35782198">
      <w:pPr>
        <w:spacing w:line="360" w:lineRule="auto"/>
        <w:jc w:val="center"/>
        <w:rPr>
          <w:rFonts w:hint="eastAsia" w:ascii="宋体" w:hAnsi="宋体" w:cs="宋体"/>
          <w:b/>
          <w:bCs/>
          <w:color w:val="000000"/>
          <w:spacing w:val="26"/>
          <w:sz w:val="36"/>
          <w:szCs w:val="36"/>
        </w:rPr>
      </w:pPr>
    </w:p>
    <w:p w14:paraId="70F5FD37">
      <w:pPr>
        <w:spacing w:line="360" w:lineRule="auto"/>
        <w:rPr>
          <w:rFonts w:hint="eastAsia" w:ascii="宋体" w:hAnsi="宋体"/>
          <w:b/>
          <w:color w:val="000000"/>
          <w:sz w:val="32"/>
          <w:szCs w:val="32"/>
        </w:rPr>
      </w:pPr>
    </w:p>
    <w:p w14:paraId="623A49C6">
      <w:pPr>
        <w:spacing w:line="360" w:lineRule="auto"/>
        <w:rPr>
          <w:rFonts w:hint="eastAsia" w:ascii="宋体" w:hAnsi="宋体"/>
          <w:b/>
          <w:color w:val="000000"/>
          <w:sz w:val="32"/>
          <w:szCs w:val="32"/>
        </w:rPr>
      </w:pPr>
    </w:p>
    <w:p w14:paraId="72BCD72C">
      <w:pPr>
        <w:spacing w:line="360" w:lineRule="auto"/>
        <w:rPr>
          <w:rFonts w:hint="eastAsia" w:ascii="宋体" w:hAnsi="宋体"/>
          <w:b/>
          <w:color w:val="000000"/>
          <w:sz w:val="32"/>
          <w:szCs w:val="32"/>
        </w:rPr>
      </w:pPr>
    </w:p>
    <w:p w14:paraId="7106FBA2">
      <w:pPr>
        <w:spacing w:line="360" w:lineRule="auto"/>
        <w:rPr>
          <w:rFonts w:hint="eastAsia" w:ascii="宋体" w:hAnsi="宋体"/>
          <w:b/>
          <w:color w:val="000000"/>
          <w:sz w:val="32"/>
          <w:szCs w:val="32"/>
        </w:rPr>
      </w:pPr>
    </w:p>
    <w:p w14:paraId="48B69F29">
      <w:pPr>
        <w:spacing w:line="360" w:lineRule="auto"/>
        <w:jc w:val="center"/>
        <w:rPr>
          <w:rFonts w:hint="eastAsia" w:ascii="宋体" w:hAnsi="宋体" w:eastAsia="宋体" w:cs="宋体"/>
          <w:b/>
          <w:bCs/>
          <w:color w:val="000000"/>
          <w:sz w:val="32"/>
          <w:szCs w:val="32"/>
        </w:rPr>
      </w:pPr>
      <w:r>
        <w:rPr>
          <w:rFonts w:hint="eastAsia" w:ascii="宋体" w:hAnsi="宋体" w:cs="宋体"/>
          <w:b/>
          <w:bCs/>
          <w:color w:val="000000"/>
          <w:sz w:val="32"/>
          <w:szCs w:val="32"/>
        </w:rPr>
        <w:t>甲方：西安科技大学</w:t>
      </w:r>
    </w:p>
    <w:p w14:paraId="4191ED30">
      <w:pPr>
        <w:ind w:firstLine="2891" w:firstLineChars="900"/>
        <w:rPr>
          <w:rFonts w:hint="eastAsia" w:ascii="宋体" w:hAnsi="宋体"/>
          <w:b/>
          <w:bCs/>
          <w:color w:val="000000"/>
          <w:sz w:val="32"/>
          <w:szCs w:val="32"/>
        </w:rPr>
      </w:pPr>
      <w:r>
        <w:rPr>
          <w:rFonts w:hint="eastAsia" w:ascii="宋体" w:hAnsi="宋体" w:cs="宋体"/>
          <w:b/>
          <w:bCs/>
          <w:color w:val="000000"/>
          <w:sz w:val="32"/>
          <w:szCs w:val="32"/>
        </w:rPr>
        <w:t>乙方：</w:t>
      </w:r>
      <w:r>
        <w:rPr>
          <w:rFonts w:hint="eastAsia" w:ascii="宋体" w:hAnsi="宋体"/>
          <w:b/>
          <w:bCs/>
          <w:color w:val="000000"/>
          <w:sz w:val="32"/>
          <w:szCs w:val="32"/>
          <w:u w:val="single"/>
        </w:rPr>
        <w:t xml:space="preserve">            </w:t>
      </w:r>
    </w:p>
    <w:p w14:paraId="59B5DD4B">
      <w:pPr>
        <w:spacing w:line="360" w:lineRule="auto"/>
        <w:jc w:val="center"/>
        <w:rPr>
          <w:rFonts w:hint="eastAsia" w:ascii="宋体" w:hAnsi="宋体" w:cs="宋体"/>
          <w:b/>
          <w:bCs/>
          <w:color w:val="000000"/>
          <w:spacing w:val="26"/>
          <w:sz w:val="30"/>
          <w:szCs w:val="30"/>
        </w:rPr>
      </w:pPr>
    </w:p>
    <w:p w14:paraId="564CBA17">
      <w:pPr>
        <w:spacing w:line="360" w:lineRule="auto"/>
        <w:jc w:val="center"/>
        <w:rPr>
          <w:rFonts w:hint="eastAsia" w:ascii="宋体" w:hAnsi="宋体" w:cs="宋体"/>
          <w:b/>
          <w:bCs/>
          <w:color w:val="000000"/>
          <w:spacing w:val="26"/>
          <w:sz w:val="30"/>
          <w:szCs w:val="30"/>
        </w:rPr>
      </w:pPr>
      <w:r>
        <w:rPr>
          <w:rFonts w:hint="eastAsia" w:ascii="宋体" w:hAnsi="宋体" w:cs="宋体"/>
          <w:b/>
          <w:bCs/>
          <w:color w:val="000000"/>
          <w:spacing w:val="26"/>
          <w:sz w:val="30"/>
          <w:szCs w:val="30"/>
        </w:rPr>
        <w:t>二〇二五年</w:t>
      </w:r>
      <w:r>
        <w:rPr>
          <w:rFonts w:hint="eastAsia" w:ascii="宋体" w:hAnsi="宋体" w:cs="宋体"/>
          <w:b/>
          <w:bCs/>
          <w:color w:val="000000"/>
          <w:spacing w:val="26"/>
          <w:sz w:val="30"/>
          <w:szCs w:val="30"/>
          <w:u w:val="single"/>
        </w:rPr>
        <w:t xml:space="preserve">  </w:t>
      </w:r>
      <w:r>
        <w:rPr>
          <w:rFonts w:hint="eastAsia" w:ascii="宋体" w:hAnsi="宋体" w:cs="宋体"/>
          <w:b/>
          <w:bCs/>
          <w:color w:val="000000"/>
          <w:spacing w:val="26"/>
          <w:sz w:val="30"/>
          <w:szCs w:val="30"/>
        </w:rPr>
        <w:t>月</w:t>
      </w:r>
      <w:r>
        <w:rPr>
          <w:rFonts w:hint="eastAsia" w:ascii="宋体" w:hAnsi="宋体" w:cs="宋体"/>
          <w:b/>
          <w:bCs/>
          <w:color w:val="000000"/>
          <w:spacing w:val="26"/>
          <w:sz w:val="30"/>
          <w:szCs w:val="30"/>
          <w:u w:val="single"/>
        </w:rPr>
        <w:t xml:space="preserve">  </w:t>
      </w:r>
      <w:r>
        <w:rPr>
          <w:rFonts w:hint="eastAsia" w:ascii="宋体" w:hAnsi="宋体" w:cs="宋体"/>
          <w:b/>
          <w:bCs/>
          <w:color w:val="000000"/>
          <w:spacing w:val="26"/>
          <w:sz w:val="30"/>
          <w:szCs w:val="30"/>
        </w:rPr>
        <w:t>日</w:t>
      </w:r>
    </w:p>
    <w:p w14:paraId="308F59DA">
      <w:pPr>
        <w:pStyle w:val="2"/>
        <w:rPr>
          <w:rFonts w:hint="eastAsia"/>
          <w:color w:val="000000"/>
        </w:rPr>
      </w:pPr>
    </w:p>
    <w:p w14:paraId="724E26B3">
      <w:pPr>
        <w:spacing w:line="360" w:lineRule="auto"/>
        <w:jc w:val="center"/>
        <w:rPr>
          <w:rFonts w:hint="eastAsia" w:ascii="宋体" w:hAnsi="宋体"/>
          <w:b/>
          <w:color w:val="000000"/>
          <w:sz w:val="44"/>
          <w:szCs w:val="44"/>
        </w:rPr>
        <w:sectPr>
          <w:footerReference r:id="rId5" w:type="first"/>
          <w:headerReference r:id="rId3" w:type="default"/>
          <w:footerReference r:id="rId4" w:type="default"/>
          <w:pgSz w:w="11906" w:h="16838"/>
          <w:pgMar w:top="1440" w:right="1576" w:bottom="1440" w:left="1576" w:header="851" w:footer="992" w:gutter="0"/>
          <w:pgNumType w:start="63"/>
          <w:cols w:space="720" w:num="1"/>
          <w:titlePg/>
          <w:docGrid w:type="lines" w:linePitch="312" w:charSpace="0"/>
        </w:sectPr>
      </w:pPr>
    </w:p>
    <w:p w14:paraId="1F5E3C63">
      <w:pPr>
        <w:shd w:val="clear" w:color="auto" w:fill="FFFFFF"/>
        <w:adjustRightInd w:val="0"/>
        <w:snapToGrid w:val="0"/>
        <w:spacing w:line="360" w:lineRule="auto"/>
        <w:ind w:firstLine="482" w:firstLineChars="200"/>
        <w:rPr>
          <w:rFonts w:hint="eastAsia" w:ascii="宋体" w:hAnsi="宋体" w:eastAsia="宋体" w:cs="宋体"/>
          <w:b/>
          <w:color w:val="000000"/>
          <w:sz w:val="24"/>
        </w:rPr>
      </w:pPr>
      <w:r>
        <w:rPr>
          <w:rFonts w:hint="eastAsia" w:ascii="宋体" w:hAnsi="宋体" w:eastAsia="宋体" w:cs="宋体"/>
          <w:b/>
          <w:bCs/>
          <w:color w:val="000000"/>
          <w:sz w:val="24"/>
        </w:rPr>
        <w:t>甲方：西安科技大学</w:t>
      </w:r>
    </w:p>
    <w:p w14:paraId="1D4C0179">
      <w:pPr>
        <w:shd w:val="clear" w:color="auto" w:fill="FFFFFF"/>
        <w:adjustRightInd w:val="0"/>
        <w:snapToGrid w:val="0"/>
        <w:spacing w:line="360" w:lineRule="auto"/>
        <w:ind w:firstLine="482" w:firstLineChars="200"/>
        <w:rPr>
          <w:rFonts w:hint="eastAsia" w:ascii="宋体" w:hAnsi="宋体" w:eastAsia="宋体" w:cs="宋体"/>
          <w:b/>
          <w:bCs/>
          <w:color w:val="000000"/>
          <w:sz w:val="24"/>
        </w:rPr>
      </w:pPr>
      <w:r>
        <w:rPr>
          <w:rFonts w:hint="eastAsia" w:ascii="宋体" w:hAnsi="宋体" w:eastAsia="宋体" w:cs="宋体"/>
          <w:b/>
          <w:bCs/>
          <w:color w:val="000000"/>
          <w:sz w:val="24"/>
        </w:rPr>
        <w:t>乙方：</w:t>
      </w:r>
      <w:r>
        <w:rPr>
          <w:rFonts w:hint="eastAsia" w:ascii="宋体" w:hAnsi="宋体" w:eastAsia="宋体" w:cs="宋体"/>
          <w:bCs/>
          <w:color w:val="000000"/>
          <w:sz w:val="24"/>
          <w:u w:val="single"/>
        </w:rPr>
        <w:t xml:space="preserve">            </w:t>
      </w:r>
    </w:p>
    <w:p w14:paraId="65BDAAA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依据《中华人民共和国民法典》与项目行业有关的法律法规，以及</w:t>
      </w:r>
      <w:r>
        <w:rPr>
          <w:rFonts w:hint="eastAsia" w:ascii="宋体" w:hAnsi="宋体" w:eastAsia="宋体" w:cs="宋体"/>
          <w:color w:val="000000"/>
          <w:sz w:val="24"/>
          <w:u w:val="single"/>
        </w:rPr>
        <w:t>西安科技大学多场耦合复合致裂增透三轴实验系统采购项目</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lang w:val="en-US" w:eastAsia="zh-CN"/>
        </w:rPr>
        <w:t>二次</w:t>
      </w:r>
      <w:bookmarkStart w:id="52" w:name="_GoBack"/>
      <w:bookmarkEnd w:id="52"/>
      <w:r>
        <w:rPr>
          <w:rFonts w:hint="eastAsia" w:ascii="宋体" w:hAnsi="宋体" w:eastAsia="宋体" w:cs="宋体"/>
          <w:color w:val="000000"/>
          <w:sz w:val="24"/>
          <w:u w:val="single"/>
          <w:lang w:eastAsia="zh-CN"/>
        </w:rPr>
        <w:t>）</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cs="宋体"/>
          <w:color w:val="000000"/>
          <w:sz w:val="24"/>
        </w:rPr>
        <w:t>招标文件</w:t>
      </w:r>
      <w:r>
        <w:rPr>
          <w:rFonts w:hint="eastAsia" w:ascii="宋体" w:hAnsi="宋体" w:eastAsia="宋体" w:cs="宋体"/>
          <w:color w:val="000000"/>
          <w:sz w:val="24"/>
        </w:rPr>
        <w:t>》，乙方的《</w:t>
      </w:r>
      <w:r>
        <w:rPr>
          <w:rFonts w:hint="eastAsia" w:ascii="宋体" w:hAnsi="宋体" w:cs="宋体"/>
          <w:color w:val="000000"/>
          <w:sz w:val="24"/>
        </w:rPr>
        <w:t>投标文件</w:t>
      </w:r>
      <w:r>
        <w:rPr>
          <w:rFonts w:hint="eastAsia" w:ascii="宋体" w:hAnsi="宋体" w:eastAsia="宋体" w:cs="宋体"/>
          <w:color w:val="000000"/>
          <w:sz w:val="24"/>
        </w:rPr>
        <w:t>》及《</w:t>
      </w:r>
      <w:r>
        <w:rPr>
          <w:rFonts w:hint="eastAsia" w:ascii="宋体" w:hAnsi="宋体" w:cs="宋体"/>
          <w:color w:val="000000"/>
          <w:sz w:val="24"/>
        </w:rPr>
        <w:t>中标通知书</w:t>
      </w:r>
      <w:r>
        <w:rPr>
          <w:rFonts w:hint="eastAsia" w:ascii="宋体" w:hAnsi="宋体" w:eastAsia="宋体" w:cs="宋体"/>
          <w:color w:val="000000"/>
          <w:sz w:val="24"/>
        </w:rPr>
        <w:t>》，甲、乙双方同意签订本合同。详细技术说明及其他有关合同项目的特定信息由合同附件予以说明，合同附件及本项目的《招标文</w:t>
      </w:r>
      <w:r>
        <w:rPr>
          <w:rFonts w:hint="eastAsia" w:ascii="宋体" w:hAnsi="宋体" w:cs="宋体"/>
          <w:color w:val="000000"/>
          <w:sz w:val="24"/>
        </w:rPr>
        <w:t>件》《投标文件》《中标通知书</w:t>
      </w:r>
      <w:r>
        <w:rPr>
          <w:rFonts w:hint="eastAsia" w:ascii="宋体" w:hAnsi="宋体" w:eastAsia="宋体" w:cs="宋体"/>
          <w:color w:val="000000"/>
          <w:sz w:val="24"/>
        </w:rPr>
        <w:t>》等均为本合同的组成部分。</w:t>
      </w:r>
    </w:p>
    <w:p w14:paraId="58616D28">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项目基本情况</w:t>
      </w:r>
    </w:p>
    <w:p w14:paraId="2F604AE0">
      <w:pPr>
        <w:spacing w:line="360" w:lineRule="auto"/>
        <w:ind w:firstLine="480" w:firstLineChars="200"/>
        <w:rPr>
          <w:rFonts w:hint="eastAsia" w:ascii="宋体" w:hAnsi="宋体" w:eastAsia="宋体" w:cs="宋体"/>
          <w:b/>
          <w:color w:val="000000"/>
          <w:sz w:val="24"/>
          <w:u w:val="single"/>
        </w:rPr>
      </w:pPr>
      <w:r>
        <w:rPr>
          <w:rFonts w:hint="eastAsia" w:ascii="宋体" w:hAnsi="宋体" w:cs="宋体"/>
          <w:color w:val="000000"/>
          <w:sz w:val="24"/>
        </w:rPr>
        <w:t>本项目拟采购1套多场耦合复合致裂增透三轴实验系统。</w:t>
      </w:r>
    </w:p>
    <w:p w14:paraId="3241BA33">
      <w:pPr>
        <w:numPr>
          <w:ilvl w:val="0"/>
          <w:numId w:val="1"/>
        </w:numPr>
        <w:spacing w:line="360" w:lineRule="auto"/>
        <w:rPr>
          <w:rFonts w:hint="eastAsia" w:ascii="宋体" w:hAnsi="宋体" w:eastAsia="宋体" w:cs="宋体"/>
          <w:b/>
          <w:color w:val="000000"/>
          <w:sz w:val="24"/>
        </w:rPr>
      </w:pPr>
      <w:bookmarkStart w:id="0" w:name="_Toc212019594"/>
      <w:bookmarkStart w:id="1" w:name="_Toc237145406"/>
      <w:bookmarkStart w:id="2" w:name="_Toc232492928"/>
      <w:bookmarkStart w:id="3" w:name="_Toc251768862"/>
      <w:bookmarkStart w:id="4" w:name="_Toc211911348"/>
      <w:bookmarkStart w:id="5" w:name="_Toc282696226"/>
      <w:bookmarkStart w:id="6" w:name="_Toc225670751"/>
      <w:bookmarkStart w:id="7" w:name="_Toc241833903"/>
      <w:bookmarkStart w:id="8" w:name="_Toc238984975"/>
      <w:bookmarkStart w:id="9" w:name="_Toc225244852"/>
      <w:bookmarkStart w:id="10" w:name="_Toc283019214"/>
      <w:bookmarkStart w:id="11" w:name="_Toc225654644"/>
      <w:bookmarkStart w:id="12" w:name="_Toc239233914"/>
      <w:bookmarkStart w:id="13" w:name="_Toc286993786"/>
      <w:bookmarkStart w:id="14" w:name="_Toc247334841"/>
      <w:bookmarkStart w:id="15" w:name="_Toc211854449"/>
      <w:bookmarkStart w:id="16" w:name="_Toc239568418"/>
      <w:bookmarkStart w:id="17" w:name="_Toc185395249"/>
      <w:r>
        <w:rPr>
          <w:rFonts w:hint="eastAsia" w:ascii="宋体" w:hAnsi="宋体" w:eastAsia="宋体" w:cs="宋体"/>
          <w:b/>
          <w:color w:val="000000"/>
          <w:sz w:val="24"/>
        </w:rPr>
        <w:t>合同内容</w:t>
      </w:r>
    </w:p>
    <w:tbl>
      <w:tblPr>
        <w:tblStyle w:val="6"/>
        <w:tblW w:w="8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014"/>
        <w:gridCol w:w="1083"/>
        <w:gridCol w:w="1111"/>
        <w:gridCol w:w="1103"/>
        <w:gridCol w:w="964"/>
        <w:gridCol w:w="1093"/>
        <w:gridCol w:w="1050"/>
        <w:gridCol w:w="631"/>
      </w:tblGrid>
      <w:tr w14:paraId="5D51A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387B463D">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序号</w:t>
            </w:r>
          </w:p>
        </w:tc>
        <w:tc>
          <w:tcPr>
            <w:tcW w:w="1014" w:type="dxa"/>
            <w:tcBorders>
              <w:top w:val="single" w:color="auto" w:sz="4" w:space="0"/>
              <w:left w:val="single" w:color="auto" w:sz="4" w:space="0"/>
              <w:bottom w:val="single" w:color="auto" w:sz="4" w:space="0"/>
              <w:right w:val="single" w:color="auto" w:sz="4" w:space="0"/>
            </w:tcBorders>
            <w:vAlign w:val="center"/>
          </w:tcPr>
          <w:p w14:paraId="70E7F5E4">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品目</w:t>
            </w:r>
          </w:p>
          <w:p w14:paraId="21AA9475">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名称</w:t>
            </w:r>
          </w:p>
        </w:tc>
        <w:tc>
          <w:tcPr>
            <w:tcW w:w="1083" w:type="dxa"/>
            <w:tcBorders>
              <w:top w:val="single" w:color="auto" w:sz="4" w:space="0"/>
              <w:left w:val="single" w:color="auto" w:sz="4" w:space="0"/>
              <w:bottom w:val="single" w:color="auto" w:sz="4" w:space="0"/>
              <w:right w:val="single" w:color="auto" w:sz="4" w:space="0"/>
            </w:tcBorders>
            <w:vAlign w:val="center"/>
          </w:tcPr>
          <w:p w14:paraId="1D2185AE">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品牌、</w:t>
            </w:r>
          </w:p>
          <w:p w14:paraId="1614A0B5">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型号</w:t>
            </w:r>
          </w:p>
        </w:tc>
        <w:tc>
          <w:tcPr>
            <w:tcW w:w="1111" w:type="dxa"/>
            <w:tcBorders>
              <w:top w:val="single" w:color="auto" w:sz="4" w:space="0"/>
              <w:left w:val="single" w:color="auto" w:sz="4" w:space="0"/>
              <w:bottom w:val="single" w:color="auto" w:sz="4" w:space="0"/>
              <w:right w:val="single" w:color="auto" w:sz="4" w:space="0"/>
            </w:tcBorders>
            <w:vAlign w:val="center"/>
          </w:tcPr>
          <w:p w14:paraId="0DE73917">
            <w:pPr>
              <w:spacing w:line="348" w:lineRule="auto"/>
              <w:jc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配置</w:t>
            </w:r>
          </w:p>
          <w:p w14:paraId="6E7298CB">
            <w:pPr>
              <w:spacing w:line="348" w:lineRule="auto"/>
              <w:jc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清单</w:t>
            </w:r>
          </w:p>
        </w:tc>
        <w:tc>
          <w:tcPr>
            <w:tcW w:w="1103" w:type="dxa"/>
            <w:tcBorders>
              <w:top w:val="single" w:color="auto" w:sz="4" w:space="0"/>
              <w:left w:val="single" w:color="auto" w:sz="4" w:space="0"/>
              <w:bottom w:val="single" w:color="auto" w:sz="4" w:space="0"/>
              <w:right w:val="single" w:color="auto" w:sz="4" w:space="0"/>
            </w:tcBorders>
            <w:vAlign w:val="center"/>
          </w:tcPr>
          <w:p w14:paraId="00C829A1">
            <w:pPr>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品牌、</w:t>
            </w:r>
          </w:p>
          <w:p w14:paraId="29890443">
            <w:pPr>
              <w:spacing w:line="348" w:lineRule="auto"/>
              <w:jc w:val="center"/>
              <w:rPr>
                <w:rFonts w:hint="eastAsia" w:ascii="宋体"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型号</w:t>
            </w:r>
          </w:p>
        </w:tc>
        <w:tc>
          <w:tcPr>
            <w:tcW w:w="964" w:type="dxa"/>
            <w:tcBorders>
              <w:top w:val="single" w:color="auto" w:sz="4" w:space="0"/>
              <w:left w:val="single" w:color="auto" w:sz="4" w:space="0"/>
              <w:bottom w:val="single" w:color="auto" w:sz="4" w:space="0"/>
              <w:right w:val="single" w:color="auto" w:sz="4" w:space="0"/>
            </w:tcBorders>
            <w:vAlign w:val="center"/>
          </w:tcPr>
          <w:p w14:paraId="5D30986A">
            <w:pPr>
              <w:spacing w:line="348" w:lineRule="auto"/>
              <w:jc w:val="cente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数量/单位</w:t>
            </w:r>
          </w:p>
        </w:tc>
        <w:tc>
          <w:tcPr>
            <w:tcW w:w="1093" w:type="dxa"/>
            <w:tcBorders>
              <w:top w:val="single" w:color="auto" w:sz="4" w:space="0"/>
              <w:left w:val="single" w:color="auto" w:sz="4" w:space="0"/>
              <w:bottom w:val="single" w:color="auto" w:sz="4" w:space="0"/>
              <w:right w:val="single" w:color="auto" w:sz="4" w:space="0"/>
            </w:tcBorders>
            <w:vAlign w:val="center"/>
          </w:tcPr>
          <w:p w14:paraId="6AE5D761">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单价（元）</w:t>
            </w:r>
          </w:p>
        </w:tc>
        <w:tc>
          <w:tcPr>
            <w:tcW w:w="1050" w:type="dxa"/>
            <w:tcBorders>
              <w:top w:val="single" w:color="auto" w:sz="4" w:space="0"/>
              <w:left w:val="single" w:color="auto" w:sz="4" w:space="0"/>
              <w:bottom w:val="single" w:color="auto" w:sz="4" w:space="0"/>
              <w:right w:val="single" w:color="auto" w:sz="4" w:space="0"/>
            </w:tcBorders>
            <w:vAlign w:val="center"/>
          </w:tcPr>
          <w:p w14:paraId="64F0CA12">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合价（元）</w:t>
            </w:r>
          </w:p>
        </w:tc>
        <w:tc>
          <w:tcPr>
            <w:tcW w:w="631" w:type="dxa"/>
            <w:tcBorders>
              <w:top w:val="single" w:color="auto" w:sz="4" w:space="0"/>
              <w:left w:val="single" w:color="auto" w:sz="4" w:space="0"/>
              <w:bottom w:val="single" w:color="auto" w:sz="4" w:space="0"/>
              <w:right w:val="single" w:color="auto" w:sz="4" w:space="0"/>
            </w:tcBorders>
            <w:vAlign w:val="center"/>
          </w:tcPr>
          <w:p w14:paraId="3EFB4C84">
            <w:pPr>
              <w:pStyle w:val="3"/>
              <w:spacing w:line="348" w:lineRule="auto"/>
              <w:jc w:val="center"/>
              <w:rPr>
                <w:rFonts w:hint="eastAsia"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备注</w:t>
            </w:r>
          </w:p>
        </w:tc>
      </w:tr>
      <w:tr w14:paraId="6857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37E02B74">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w:t>
            </w:r>
          </w:p>
        </w:tc>
        <w:tc>
          <w:tcPr>
            <w:tcW w:w="1014" w:type="dxa"/>
            <w:vMerge w:val="restart"/>
            <w:tcBorders>
              <w:top w:val="single" w:color="auto" w:sz="4" w:space="0"/>
              <w:left w:val="single" w:color="auto" w:sz="4" w:space="0"/>
              <w:right w:val="single" w:color="auto" w:sz="4" w:space="0"/>
            </w:tcBorders>
            <w:vAlign w:val="center"/>
          </w:tcPr>
          <w:p w14:paraId="4C3AEA98">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sz w:val="24"/>
              </w:rPr>
              <w:t>多场耦合复合致裂增透三轴实验系统</w:t>
            </w:r>
          </w:p>
        </w:tc>
        <w:tc>
          <w:tcPr>
            <w:tcW w:w="1083" w:type="dxa"/>
            <w:vMerge w:val="restart"/>
            <w:tcBorders>
              <w:top w:val="single" w:color="auto" w:sz="4" w:space="0"/>
              <w:left w:val="single" w:color="auto" w:sz="4" w:space="0"/>
              <w:right w:val="single" w:color="auto" w:sz="4" w:space="0"/>
            </w:tcBorders>
            <w:vAlign w:val="center"/>
          </w:tcPr>
          <w:p w14:paraId="3A5302BC">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54A79A06">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7D5E9E7D">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33887AB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28EAFE70">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65FF78E5">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575971C4">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32CC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3598B31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2</w:t>
            </w:r>
          </w:p>
        </w:tc>
        <w:tc>
          <w:tcPr>
            <w:tcW w:w="1014" w:type="dxa"/>
            <w:vMerge w:val="continue"/>
            <w:tcBorders>
              <w:left w:val="single" w:color="auto" w:sz="4" w:space="0"/>
              <w:right w:val="single" w:color="auto" w:sz="4" w:space="0"/>
            </w:tcBorders>
            <w:vAlign w:val="center"/>
          </w:tcPr>
          <w:p w14:paraId="569EE139">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38BE1C77">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1563F8FB">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658D185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1EF18A99">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782BC9EE">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0CE2BC73">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6C74DF1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32D0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1B0F6C42">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3</w:t>
            </w:r>
          </w:p>
        </w:tc>
        <w:tc>
          <w:tcPr>
            <w:tcW w:w="1014" w:type="dxa"/>
            <w:vMerge w:val="continue"/>
            <w:tcBorders>
              <w:left w:val="single" w:color="auto" w:sz="4" w:space="0"/>
              <w:right w:val="single" w:color="auto" w:sz="4" w:space="0"/>
            </w:tcBorders>
            <w:vAlign w:val="center"/>
          </w:tcPr>
          <w:p w14:paraId="4F299EB5">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1583FCDA">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6009B62E">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41D1B9D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342798BB">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50825E2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6009BE7F">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296F516A">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05FA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53C65FDE">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4</w:t>
            </w:r>
          </w:p>
        </w:tc>
        <w:tc>
          <w:tcPr>
            <w:tcW w:w="1014" w:type="dxa"/>
            <w:vMerge w:val="continue"/>
            <w:tcBorders>
              <w:left w:val="single" w:color="auto" w:sz="4" w:space="0"/>
              <w:right w:val="single" w:color="auto" w:sz="4" w:space="0"/>
            </w:tcBorders>
            <w:vAlign w:val="center"/>
          </w:tcPr>
          <w:p w14:paraId="2CB7C134">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39D14824">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5BF3A7C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4B1353B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2761B3BD">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210390DB">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12ADC6D2">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39A1EA8E">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6FB9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15CE4A6A">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5</w:t>
            </w:r>
          </w:p>
        </w:tc>
        <w:tc>
          <w:tcPr>
            <w:tcW w:w="1014" w:type="dxa"/>
            <w:vMerge w:val="continue"/>
            <w:tcBorders>
              <w:left w:val="single" w:color="auto" w:sz="4" w:space="0"/>
              <w:right w:val="single" w:color="auto" w:sz="4" w:space="0"/>
            </w:tcBorders>
            <w:vAlign w:val="center"/>
          </w:tcPr>
          <w:p w14:paraId="400A5D1D">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0A17EE9D">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7B576093">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4B443A1F">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4A892D7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38D2D35A">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769F607A">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7A1E311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2557A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43657E5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6</w:t>
            </w:r>
          </w:p>
        </w:tc>
        <w:tc>
          <w:tcPr>
            <w:tcW w:w="1014" w:type="dxa"/>
            <w:vMerge w:val="continue"/>
            <w:tcBorders>
              <w:left w:val="single" w:color="auto" w:sz="4" w:space="0"/>
              <w:right w:val="single" w:color="auto" w:sz="4" w:space="0"/>
            </w:tcBorders>
            <w:vAlign w:val="center"/>
          </w:tcPr>
          <w:p w14:paraId="51099CB8">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563BD900">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52715C38">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2545941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23C07528">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3F8E40A2">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4E08AF5C">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244A1351">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5EE0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2F7B182D">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7</w:t>
            </w:r>
          </w:p>
        </w:tc>
        <w:tc>
          <w:tcPr>
            <w:tcW w:w="1014" w:type="dxa"/>
            <w:vMerge w:val="continue"/>
            <w:tcBorders>
              <w:left w:val="single" w:color="auto" w:sz="4" w:space="0"/>
              <w:right w:val="single" w:color="auto" w:sz="4" w:space="0"/>
            </w:tcBorders>
            <w:vAlign w:val="center"/>
          </w:tcPr>
          <w:p w14:paraId="1C184D52">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6FA16FDE">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682C3829">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4E5AD26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4D49A632">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69AA3A89">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48DA0D38">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727F1074">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152E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4FFC9245">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8</w:t>
            </w:r>
          </w:p>
        </w:tc>
        <w:tc>
          <w:tcPr>
            <w:tcW w:w="1014" w:type="dxa"/>
            <w:vMerge w:val="continue"/>
            <w:tcBorders>
              <w:left w:val="single" w:color="auto" w:sz="4" w:space="0"/>
              <w:right w:val="single" w:color="auto" w:sz="4" w:space="0"/>
            </w:tcBorders>
            <w:vAlign w:val="center"/>
          </w:tcPr>
          <w:p w14:paraId="7B5702F1">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7C994EDF">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4BC9B73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72167578">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13E316DE">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2A31F18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5A17D253">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68CA6C5E">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20B83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5E7EC332">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9</w:t>
            </w:r>
          </w:p>
        </w:tc>
        <w:tc>
          <w:tcPr>
            <w:tcW w:w="1014" w:type="dxa"/>
            <w:vMerge w:val="continue"/>
            <w:tcBorders>
              <w:left w:val="single" w:color="auto" w:sz="4" w:space="0"/>
              <w:right w:val="single" w:color="auto" w:sz="4" w:space="0"/>
            </w:tcBorders>
            <w:vAlign w:val="center"/>
          </w:tcPr>
          <w:p w14:paraId="67E47143">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02F897BC">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27D7B944">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1BEF9C9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21C0ACE6">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4E0E3189">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1EAAD7F7">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3AA66822">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70AB2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00CE28DC">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10</w:t>
            </w:r>
          </w:p>
        </w:tc>
        <w:tc>
          <w:tcPr>
            <w:tcW w:w="1014" w:type="dxa"/>
            <w:vMerge w:val="continue"/>
            <w:tcBorders>
              <w:left w:val="single" w:color="auto" w:sz="4" w:space="0"/>
              <w:right w:val="single" w:color="auto" w:sz="4" w:space="0"/>
            </w:tcBorders>
            <w:vAlign w:val="center"/>
          </w:tcPr>
          <w:p w14:paraId="19C35335">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7D121EBD">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745F91AA">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328B54E6">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58A151F4">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37AB5749">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7877BF0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68BE86EB">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38517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1F749564">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11</w:t>
            </w:r>
          </w:p>
        </w:tc>
        <w:tc>
          <w:tcPr>
            <w:tcW w:w="1014" w:type="dxa"/>
            <w:vMerge w:val="continue"/>
            <w:tcBorders>
              <w:left w:val="single" w:color="auto" w:sz="4" w:space="0"/>
              <w:right w:val="single" w:color="auto" w:sz="4" w:space="0"/>
            </w:tcBorders>
            <w:vAlign w:val="center"/>
          </w:tcPr>
          <w:p w14:paraId="2FB3BD2A">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1E4E37B6">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36D865CE">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2B7C2AB2">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2D338DF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2297C9E7">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647A60C5">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7EF80FFA">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7C61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0FABF92D">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12</w:t>
            </w:r>
          </w:p>
        </w:tc>
        <w:tc>
          <w:tcPr>
            <w:tcW w:w="1014" w:type="dxa"/>
            <w:vMerge w:val="continue"/>
            <w:tcBorders>
              <w:left w:val="single" w:color="auto" w:sz="4" w:space="0"/>
              <w:right w:val="single" w:color="auto" w:sz="4" w:space="0"/>
            </w:tcBorders>
            <w:vAlign w:val="center"/>
          </w:tcPr>
          <w:p w14:paraId="20A89AF9">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699ADD8C">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6FEF44FD">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596E76EA">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5E77D306">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01A8478E">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136AEDF1">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14192ADF">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4F781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0124CD10">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13</w:t>
            </w:r>
          </w:p>
        </w:tc>
        <w:tc>
          <w:tcPr>
            <w:tcW w:w="1014" w:type="dxa"/>
            <w:vMerge w:val="continue"/>
            <w:tcBorders>
              <w:left w:val="single" w:color="auto" w:sz="4" w:space="0"/>
              <w:right w:val="single" w:color="auto" w:sz="4" w:space="0"/>
            </w:tcBorders>
            <w:vAlign w:val="center"/>
          </w:tcPr>
          <w:p w14:paraId="128ED41B">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right w:val="single" w:color="auto" w:sz="4" w:space="0"/>
            </w:tcBorders>
            <w:vAlign w:val="center"/>
          </w:tcPr>
          <w:p w14:paraId="625CFBA8">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50501807">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457FEFB1">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68629245">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10D1614A">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0269D630">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7E9E4E1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5ACE9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14:paraId="429FE64B">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14</w:t>
            </w:r>
          </w:p>
        </w:tc>
        <w:tc>
          <w:tcPr>
            <w:tcW w:w="1014" w:type="dxa"/>
            <w:vMerge w:val="continue"/>
            <w:tcBorders>
              <w:left w:val="single" w:color="auto" w:sz="4" w:space="0"/>
              <w:bottom w:val="single" w:color="auto" w:sz="4" w:space="0"/>
              <w:right w:val="single" w:color="auto" w:sz="4" w:space="0"/>
            </w:tcBorders>
            <w:vAlign w:val="center"/>
          </w:tcPr>
          <w:p w14:paraId="1231DBAD">
            <w:pPr>
              <w:adjustRightInd w:val="0"/>
              <w:snapToGrid w:val="0"/>
              <w:spacing w:line="348" w:lineRule="auto"/>
              <w:jc w:val="center"/>
              <w:rPr>
                <w:rFonts w:hint="eastAsia" w:ascii="宋体" w:hAnsi="宋体" w:eastAsia="宋体" w:cs="宋体"/>
                <w:color w:val="000000" w:themeColor="text1"/>
                <w:sz w:val="24"/>
                <w:shd w:val="clear" w:color="auto" w:fill="FFFFFF"/>
                <w14:textFill>
                  <w14:solidFill>
                    <w14:schemeClr w14:val="tx1"/>
                  </w14:solidFill>
                </w14:textFill>
              </w:rPr>
            </w:pPr>
          </w:p>
        </w:tc>
        <w:tc>
          <w:tcPr>
            <w:tcW w:w="1083" w:type="dxa"/>
            <w:vMerge w:val="continue"/>
            <w:tcBorders>
              <w:left w:val="single" w:color="auto" w:sz="4" w:space="0"/>
              <w:bottom w:val="single" w:color="auto" w:sz="4" w:space="0"/>
              <w:right w:val="single" w:color="auto" w:sz="4" w:space="0"/>
            </w:tcBorders>
            <w:vAlign w:val="center"/>
          </w:tcPr>
          <w:p w14:paraId="6D5EC866">
            <w:pPr>
              <w:widowControl/>
              <w:spacing w:line="348" w:lineRule="auto"/>
              <w:jc w:val="center"/>
              <w:rPr>
                <w:rFonts w:hint="eastAsia" w:ascii="宋体" w:hAnsi="宋体" w:cs="宋体"/>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14F6230B">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103" w:type="dxa"/>
            <w:tcBorders>
              <w:top w:val="single" w:color="auto" w:sz="4" w:space="0"/>
              <w:left w:val="single" w:color="auto" w:sz="4" w:space="0"/>
              <w:bottom w:val="single" w:color="auto" w:sz="4" w:space="0"/>
              <w:right w:val="single" w:color="auto" w:sz="4" w:space="0"/>
            </w:tcBorders>
            <w:vAlign w:val="center"/>
          </w:tcPr>
          <w:p w14:paraId="3179A3EF">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1CEAEBD4">
            <w:pPr>
              <w:adjustRightInd w:val="0"/>
              <w:snapToGrid w:val="0"/>
              <w:spacing w:line="348" w:lineRule="auto"/>
              <w:jc w:val="center"/>
              <w:rPr>
                <w:rFonts w:hint="eastAsia" w:ascii="宋体" w:hAnsi="宋体" w:cs="宋体"/>
                <w:color w:val="000000" w:themeColor="text1"/>
                <w:sz w:val="24"/>
                <w14:textFill>
                  <w14:solidFill>
                    <w14:schemeClr w14:val="tx1"/>
                  </w14:solidFill>
                </w14:textFill>
              </w:rPr>
            </w:pPr>
          </w:p>
        </w:tc>
        <w:tc>
          <w:tcPr>
            <w:tcW w:w="1093" w:type="dxa"/>
            <w:tcBorders>
              <w:top w:val="single" w:color="auto" w:sz="4" w:space="0"/>
              <w:left w:val="single" w:color="auto" w:sz="4" w:space="0"/>
              <w:bottom w:val="single" w:color="auto" w:sz="4" w:space="0"/>
              <w:right w:val="single" w:color="auto" w:sz="4" w:space="0"/>
            </w:tcBorders>
            <w:vAlign w:val="center"/>
          </w:tcPr>
          <w:p w14:paraId="30E373BD">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1050" w:type="dxa"/>
            <w:tcBorders>
              <w:top w:val="single" w:color="auto" w:sz="4" w:space="0"/>
              <w:left w:val="single" w:color="auto" w:sz="4" w:space="0"/>
              <w:bottom w:val="single" w:color="auto" w:sz="4" w:space="0"/>
              <w:right w:val="single" w:color="auto" w:sz="4" w:space="0"/>
            </w:tcBorders>
            <w:vAlign w:val="center"/>
          </w:tcPr>
          <w:p w14:paraId="440B5D79">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c>
          <w:tcPr>
            <w:tcW w:w="631" w:type="dxa"/>
            <w:tcBorders>
              <w:top w:val="single" w:color="auto" w:sz="4" w:space="0"/>
              <w:left w:val="single" w:color="auto" w:sz="4" w:space="0"/>
              <w:bottom w:val="single" w:color="auto" w:sz="4" w:space="0"/>
              <w:right w:val="single" w:color="auto" w:sz="4" w:space="0"/>
            </w:tcBorders>
            <w:vAlign w:val="center"/>
          </w:tcPr>
          <w:p w14:paraId="156766EF">
            <w:pPr>
              <w:widowControl/>
              <w:spacing w:line="348" w:lineRule="auto"/>
              <w:jc w:val="center"/>
              <w:rPr>
                <w:rFonts w:hint="eastAsia" w:ascii="宋体" w:hAnsi="宋体" w:cs="宋体"/>
                <w:color w:val="000000" w:themeColor="text1"/>
                <w:kern w:val="0"/>
                <w:sz w:val="24"/>
                <w14:textFill>
                  <w14:solidFill>
                    <w14:schemeClr w14:val="tx1"/>
                  </w14:solidFill>
                </w14:textFill>
              </w:rPr>
            </w:pPr>
          </w:p>
        </w:tc>
      </w:tr>
      <w:tr w14:paraId="4BAD2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5802" w:type="dxa"/>
            <w:gridSpan w:val="6"/>
            <w:tcBorders>
              <w:top w:val="single" w:color="auto" w:sz="4" w:space="0"/>
              <w:left w:val="single" w:color="auto" w:sz="4" w:space="0"/>
              <w:bottom w:val="single" w:color="auto" w:sz="4" w:space="0"/>
              <w:right w:val="single" w:color="auto" w:sz="4" w:space="0"/>
            </w:tcBorders>
            <w:vAlign w:val="center"/>
          </w:tcPr>
          <w:p w14:paraId="12B71489">
            <w:pPr>
              <w:widowControl/>
              <w:spacing w:line="348" w:lineRule="auto"/>
              <w:jc w:val="right"/>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合计</w:t>
            </w:r>
          </w:p>
        </w:tc>
        <w:tc>
          <w:tcPr>
            <w:tcW w:w="2774" w:type="dxa"/>
            <w:gridSpan w:val="3"/>
            <w:tcBorders>
              <w:top w:val="single" w:color="auto" w:sz="4" w:space="0"/>
              <w:left w:val="single" w:color="auto" w:sz="4" w:space="0"/>
              <w:bottom w:val="single" w:color="auto" w:sz="4" w:space="0"/>
              <w:right w:val="single" w:color="auto" w:sz="4" w:space="0"/>
            </w:tcBorders>
            <w:vAlign w:val="center"/>
          </w:tcPr>
          <w:p w14:paraId="50608727">
            <w:pPr>
              <w:widowControl/>
              <w:spacing w:line="348" w:lineRule="auto"/>
              <w:jc w:val="left"/>
              <w:rPr>
                <w:rFonts w:hint="eastAsia" w:ascii="宋体" w:hAnsi="宋体" w:cs="宋体"/>
                <w:color w:val="000000" w:themeColor="text1"/>
                <w:kern w:val="0"/>
                <w:sz w:val="24"/>
                <w:u w:val="single"/>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大写：</w:t>
            </w:r>
            <w:r>
              <w:rPr>
                <w:rFonts w:hint="eastAsia" w:ascii="宋体" w:hAnsi="宋体" w:cs="宋体"/>
                <w:color w:val="000000" w:themeColor="text1"/>
                <w:kern w:val="0"/>
                <w:sz w:val="24"/>
                <w:u w:val="single"/>
                <w14:textFill>
                  <w14:solidFill>
                    <w14:schemeClr w14:val="tx1"/>
                  </w14:solidFill>
                </w14:textFill>
              </w:rPr>
              <w:t xml:space="preserve">                    </w:t>
            </w:r>
          </w:p>
          <w:p w14:paraId="51BB67CB">
            <w:pPr>
              <w:widowControl/>
              <w:spacing w:line="348" w:lineRule="auto"/>
              <w:jc w:val="left"/>
              <w:rPr>
                <w:rFonts w:hint="eastAsia"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小写：</w:t>
            </w:r>
            <w:r>
              <w:rPr>
                <w:rFonts w:hint="eastAsia" w:ascii="宋体" w:hAnsi="宋体" w:cs="宋体"/>
                <w:color w:val="000000" w:themeColor="text1"/>
                <w:kern w:val="0"/>
                <w:sz w:val="24"/>
                <w:u w:val="single"/>
                <w14:textFill>
                  <w14:solidFill>
                    <w14:schemeClr w14:val="tx1"/>
                  </w14:solidFill>
                </w14:textFill>
              </w:rPr>
              <w:t xml:space="preserve">                    </w:t>
            </w:r>
          </w:p>
        </w:tc>
      </w:tr>
    </w:tbl>
    <w:p w14:paraId="5708D570">
      <w:pPr>
        <w:spacing w:line="360" w:lineRule="auto"/>
        <w:rPr>
          <w:rFonts w:hint="eastAsia" w:ascii="宋体" w:hAnsi="宋体" w:eastAsia="宋体" w:cs="宋体"/>
          <w:b/>
          <w:color w:val="000000" w:themeColor="text1"/>
          <w:sz w:val="24"/>
          <w14:textFill>
            <w14:solidFill>
              <w14:schemeClr w14:val="tx1"/>
            </w14:solidFill>
          </w14:textFill>
        </w:rPr>
      </w:pPr>
    </w:p>
    <w:p w14:paraId="458D2FFE">
      <w:pPr>
        <w:spacing w:line="360" w:lineRule="auto"/>
        <w:rPr>
          <w:rFonts w:hint="eastAsia" w:ascii="宋体" w:hAnsi="宋体" w:eastAsia="宋体" w:cs="宋体"/>
          <w:b/>
          <w:color w:val="000000" w:themeColor="text1"/>
          <w:sz w:val="24"/>
          <w14:textFill>
            <w14:solidFill>
              <w14:schemeClr w14:val="tx1"/>
            </w14:solidFill>
          </w14:textFill>
        </w:rPr>
      </w:pPr>
    </w:p>
    <w:p w14:paraId="7BB3E247">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bCs/>
          <w:color w:val="000000"/>
          <w:kern w:val="0"/>
          <w:sz w:val="24"/>
        </w:rPr>
        <w:t>交货期、交货地点</w:t>
      </w:r>
    </w:p>
    <w:p w14:paraId="10F70321">
      <w:pPr>
        <w:tabs>
          <w:tab w:val="left" w:pos="1521"/>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1.交货期（包含安装、调试时间）： 自验收合格之日起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日历日完成供货、安装及调试</w:t>
      </w:r>
      <w:r>
        <w:rPr>
          <w:rFonts w:hint="eastAsia" w:ascii="宋体" w:hAnsi="宋体" w:cs="宋体"/>
          <w:color w:val="000000"/>
          <w:sz w:val="24"/>
        </w:rPr>
        <w:t>。</w:t>
      </w:r>
    </w:p>
    <w:p w14:paraId="24D2E24B">
      <w:pPr>
        <w:tabs>
          <w:tab w:val="left" w:pos="1521"/>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2.交付地点：甲方指定地点。</w:t>
      </w:r>
    </w:p>
    <w:p w14:paraId="13BDFB73">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bCs/>
          <w:color w:val="000000"/>
          <w:kern w:val="0"/>
          <w:sz w:val="24"/>
        </w:rPr>
        <w:t>合同价款</w:t>
      </w:r>
    </w:p>
    <w:p w14:paraId="1A5979B5">
      <w:pPr>
        <w:adjustRightInd w:val="0"/>
        <w:snapToGrid w:val="0"/>
        <w:spacing w:line="360" w:lineRule="auto"/>
        <w:ind w:firstLine="480" w:firstLineChars="200"/>
        <w:rPr>
          <w:rFonts w:hint="eastAsia" w:ascii="宋体" w:hAnsi="宋体" w:eastAsia="宋体" w:cs="宋体"/>
          <w:color w:val="000000"/>
          <w:kern w:val="28"/>
          <w:sz w:val="24"/>
        </w:rPr>
      </w:pPr>
      <w:r>
        <w:rPr>
          <w:rFonts w:hint="eastAsia" w:ascii="宋体" w:hAnsi="宋体" w:eastAsia="宋体" w:cs="宋体"/>
          <w:color w:val="000000"/>
          <w:sz w:val="24"/>
        </w:rPr>
        <w:t>1.合同总价款为：人民币（大写）</w:t>
      </w:r>
      <w:r>
        <w:rPr>
          <w:rFonts w:hint="eastAsia" w:ascii="宋体" w:hAnsi="宋体" w:eastAsia="宋体" w:cs="宋体"/>
          <w:color w:val="000000"/>
          <w:sz w:val="24"/>
          <w:u w:val="single"/>
        </w:rPr>
        <w:t xml:space="preserve">          元</w:t>
      </w:r>
      <w:r>
        <w:rPr>
          <w:rFonts w:hint="eastAsia" w:ascii="宋体" w:hAnsi="宋体" w:eastAsia="宋体" w:cs="宋体"/>
          <w:color w:val="000000"/>
          <w:sz w:val="24"/>
        </w:rPr>
        <w:t>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AC0C601">
      <w:pPr>
        <w:autoSpaceDE w:val="0"/>
        <w:autoSpaceDN w:val="0"/>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2.合同总价含税。合同总价为完成本次项目所要求的货物、服务且验收合格的所有费用，包括与之相关的一切直接费、间接费。</w:t>
      </w:r>
    </w:p>
    <w:p w14:paraId="09AA17E2">
      <w:pPr>
        <w:numPr>
          <w:ilvl w:val="0"/>
          <w:numId w:val="1"/>
        </w:numPr>
        <w:spacing w:line="360" w:lineRule="auto"/>
        <w:rPr>
          <w:rFonts w:hint="eastAsia" w:ascii="宋体" w:hAnsi="宋体" w:eastAsia="宋体" w:cs="宋体"/>
          <w:b/>
          <w:bCs/>
          <w:color w:val="000000"/>
          <w:kern w:val="0"/>
          <w:sz w:val="24"/>
        </w:rPr>
      </w:pPr>
      <w:r>
        <w:rPr>
          <w:rFonts w:hint="eastAsia" w:ascii="宋体" w:hAnsi="宋体" w:eastAsia="宋体" w:cs="宋体"/>
          <w:b/>
          <w:bCs/>
          <w:color w:val="000000"/>
          <w:kern w:val="0"/>
          <w:sz w:val="24"/>
        </w:rPr>
        <w:t>款项结算与支付方式</w:t>
      </w:r>
    </w:p>
    <w:p w14:paraId="29037D71">
      <w:pPr>
        <w:pStyle w:val="8"/>
        <w:spacing w:line="360" w:lineRule="auto"/>
        <w:ind w:firstLine="480" w:firstLineChars="200"/>
        <w:rPr>
          <w:rFonts w:hint="eastAsia" w:ascii="宋体" w:hAnsi="宋体" w:cs="宋体"/>
          <w:color w:val="000000"/>
          <w:sz w:val="24"/>
          <w:lang w:val="zh-CN"/>
        </w:rPr>
      </w:pPr>
      <w:r>
        <w:rPr>
          <w:rFonts w:hint="eastAsia" w:ascii="宋体" w:hAnsi="宋体" w:cs="宋体"/>
          <w:color w:val="000000"/>
          <w:sz w:val="24"/>
          <w:lang w:val="zh-CN"/>
        </w:rPr>
        <w:t>1</w:t>
      </w:r>
      <w:r>
        <w:rPr>
          <w:rFonts w:hint="eastAsia" w:ascii="宋体" w:hAnsi="宋体" w:cs="宋体"/>
          <w:color w:val="000000"/>
          <w:sz w:val="24"/>
        </w:rPr>
        <w:t xml:space="preserve"> </w:t>
      </w:r>
      <w:r>
        <w:rPr>
          <w:rFonts w:hint="eastAsia" w:ascii="宋体" w:hAnsi="宋体" w:cs="宋体"/>
          <w:color w:val="000000"/>
          <w:sz w:val="24"/>
          <w:lang w:val="zh-CN"/>
        </w:rPr>
        <w:t>验收合格后结算</w:t>
      </w:r>
      <w:r>
        <w:rPr>
          <w:rFonts w:hint="eastAsia" w:ascii="宋体" w:hAnsi="宋体" w:cs="宋体"/>
          <w:color w:val="000000"/>
          <w:sz w:val="24"/>
        </w:rPr>
        <w:t>时</w:t>
      </w:r>
      <w:r>
        <w:rPr>
          <w:rFonts w:hint="eastAsia" w:ascii="宋体" w:hAnsi="宋体" w:cs="宋体"/>
          <w:color w:val="000000"/>
          <w:sz w:val="24"/>
          <w:lang w:val="zh-CN"/>
        </w:rPr>
        <w:t>，在付款前必须开具全额增值税发票给</w:t>
      </w:r>
      <w:r>
        <w:rPr>
          <w:rFonts w:hint="eastAsia" w:ascii="宋体" w:hAnsi="宋体" w:cs="宋体"/>
          <w:color w:val="000000"/>
          <w:sz w:val="24"/>
        </w:rPr>
        <w:t>甲方</w:t>
      </w:r>
      <w:r>
        <w:rPr>
          <w:rFonts w:hint="eastAsia" w:ascii="宋体" w:hAnsi="宋体" w:cs="宋体"/>
          <w:color w:val="000000"/>
          <w:sz w:val="24"/>
          <w:lang w:val="zh-CN"/>
        </w:rPr>
        <w:t>。</w:t>
      </w:r>
    </w:p>
    <w:p w14:paraId="4F1467E2">
      <w:pPr>
        <w:pStyle w:val="8"/>
        <w:spacing w:line="360" w:lineRule="auto"/>
        <w:ind w:firstLine="480" w:firstLineChars="200"/>
        <w:rPr>
          <w:rFonts w:hint="eastAsia" w:ascii="宋体" w:hAnsi="宋体" w:eastAsia="宋体" w:cs="宋体"/>
          <w:b/>
          <w:color w:val="000000"/>
          <w:sz w:val="24"/>
          <w:u w:val="single"/>
        </w:rPr>
      </w:pPr>
      <w:r>
        <w:rPr>
          <w:rFonts w:hint="eastAsia" w:ascii="宋体" w:hAnsi="宋体" w:cs="宋体"/>
          <w:color w:val="000000"/>
          <w:sz w:val="24"/>
        </w:rPr>
        <w:t>2.</w:t>
      </w:r>
      <w:r>
        <w:rPr>
          <w:rFonts w:hint="eastAsia" w:ascii="宋体" w:hAnsi="宋体" w:cs="宋体"/>
          <w:color w:val="000000"/>
          <w:sz w:val="24"/>
          <w:lang w:val="zh-CN"/>
        </w:rPr>
        <w:t>签订合同前向学校缴纳5%的履约保证金，合同签订后</w:t>
      </w:r>
      <w:r>
        <w:rPr>
          <w:rFonts w:hint="eastAsia" w:ascii="宋体" w:hAnsi="宋体" w:cs="宋体"/>
          <w:color w:val="000000"/>
          <w:sz w:val="24"/>
        </w:rPr>
        <w:t>甲方</w:t>
      </w:r>
      <w:r>
        <w:rPr>
          <w:rFonts w:hint="eastAsia" w:ascii="宋体" w:hAnsi="宋体" w:cs="宋体"/>
          <w:color w:val="000000"/>
          <w:sz w:val="24"/>
          <w:lang w:val="zh-CN"/>
        </w:rPr>
        <w:t>支付40%合同金额的预付款。国内产品安装调试经学校验收合格后一次性支付60%合同金额的余款，同时缴纳的5%履约保证金无质量问题一次性无息退还</w:t>
      </w:r>
      <w:r>
        <w:rPr>
          <w:rFonts w:hint="eastAsia" w:ascii="宋体" w:hAnsi="宋体" w:cs="宋体"/>
          <w:color w:val="000000"/>
          <w:sz w:val="24"/>
        </w:rPr>
        <w:t>。</w:t>
      </w:r>
    </w:p>
    <w:p w14:paraId="539DDC27">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知识产权</w:t>
      </w:r>
    </w:p>
    <w:p w14:paraId="36CBD79D">
      <w:pPr>
        <w:tabs>
          <w:tab w:val="left" w:pos="144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乙方应保证所提供的服务或其任何一部分均不会侵犯任何第三方的专利权、商标权或著作权。</w:t>
      </w:r>
    </w:p>
    <w:p w14:paraId="3DF69042">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无产权瑕疵条款</w:t>
      </w:r>
    </w:p>
    <w:p w14:paraId="3C34E831">
      <w:pPr>
        <w:tabs>
          <w:tab w:val="left" w:pos="144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乙方保证所提供的服务的所有权完全属于乙方且无任何抵押、查封等产权瑕疵。如有产权瑕疵的，视为乙方违约。乙方应负担由此而产生的一切损失。</w:t>
      </w:r>
    </w:p>
    <w:p w14:paraId="3F536B48">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履约保证金</w:t>
      </w:r>
    </w:p>
    <w:p w14:paraId="594416C8">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1.乙方应缴纳合同金额5%的履约保证金，即人民币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bCs/>
          <w:color w:val="000000"/>
          <w:sz w:val="24"/>
        </w:rPr>
        <w:t>元。项目验收合格后，甲方一次性无息退还5%的履约保证金。</w:t>
      </w:r>
    </w:p>
    <w:p w14:paraId="6A5DC612">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2.履约保证金作为违约金的一部分及用于补偿甲方因乙方不能履行合同义务而蒙受的损失。</w:t>
      </w:r>
    </w:p>
    <w:p w14:paraId="242CFB8A">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甲方的权利和义务</w:t>
      </w:r>
    </w:p>
    <w:p w14:paraId="557CB576">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238B955D">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2.甲方有权依据双方签订的考评办法对乙方提供的服务进行定期考评。当考评结果未达到标准时，有权依据考评办法约定的数额扣除履约保证金。</w:t>
      </w:r>
    </w:p>
    <w:p w14:paraId="2798F084">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3.负责检查监督乙方管理工作的实施及制度的执行情况。</w:t>
      </w:r>
    </w:p>
    <w:p w14:paraId="25D0FC24">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4.根据本合同规定，按时向乙方支付应付服务费用。</w:t>
      </w:r>
    </w:p>
    <w:p w14:paraId="4ED1FF2E">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5.国家法律、法规所规定由甲方承担的其他责任。</w:t>
      </w:r>
    </w:p>
    <w:p w14:paraId="42F0871F">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乙方的权利和义务</w:t>
      </w:r>
    </w:p>
    <w:p w14:paraId="33E3F3F7">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1.对本合同规定的委托服务范围内的项目享有管理权及服务义务。</w:t>
      </w:r>
    </w:p>
    <w:p w14:paraId="72891C08">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2.根据本合同的规定向甲方收取相关服务费用，并有权在本项目管理范围内管理及合理使用。</w:t>
      </w:r>
    </w:p>
    <w:p w14:paraId="5B2B40AA">
      <w:pPr>
        <w:adjustRightInd w:val="0"/>
        <w:spacing w:line="360" w:lineRule="auto"/>
        <w:ind w:firstLine="480" w:firstLineChars="200"/>
        <w:jc w:val="left"/>
        <w:textAlignment w:val="baseline"/>
        <w:rPr>
          <w:rFonts w:hint="eastAsia" w:ascii="宋体" w:hAnsi="宋体" w:eastAsia="宋体" w:cs="宋体"/>
          <w:color w:val="000000"/>
          <w:sz w:val="24"/>
        </w:rPr>
      </w:pPr>
      <w:r>
        <w:rPr>
          <w:rFonts w:hint="eastAsia" w:ascii="宋体" w:hAnsi="宋体" w:eastAsia="宋体" w:cs="宋体"/>
          <w:color w:val="000000"/>
          <w:sz w:val="24"/>
        </w:rPr>
        <w:t>3.及时向甲方通告本项目服务范围内有关服务的重大事项，及时配合处理投诉。</w:t>
      </w:r>
    </w:p>
    <w:p w14:paraId="2245FCE6">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color w:val="000000"/>
          <w:sz w:val="24"/>
        </w:rPr>
        <w:t>4.</w:t>
      </w:r>
      <w:r>
        <w:rPr>
          <w:rFonts w:hint="eastAsia" w:ascii="宋体" w:hAnsi="宋体" w:eastAsia="宋体" w:cs="宋体"/>
          <w:bCs/>
          <w:color w:val="000000"/>
          <w:sz w:val="24"/>
        </w:rPr>
        <w:t>接受项目行业管理部门及政府有关部门的指导，接受甲方的监督。</w:t>
      </w:r>
    </w:p>
    <w:p w14:paraId="6D854F67">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5.国家法律、法规所规定由乙方承担的其他责任。</w:t>
      </w:r>
    </w:p>
    <w:p w14:paraId="4AEC57F3">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违约责任</w:t>
      </w:r>
    </w:p>
    <w:p w14:paraId="64BA5B56">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1.甲乙双方必须遵守本合同并执行合同中的各项规定，保证本合同的正常履行。</w:t>
      </w:r>
    </w:p>
    <w:p w14:paraId="7F05B09D">
      <w:pPr>
        <w:adjustRightInd w:val="0"/>
        <w:spacing w:line="360" w:lineRule="auto"/>
        <w:ind w:firstLine="480" w:firstLineChars="200"/>
        <w:jc w:val="left"/>
        <w:textAlignment w:val="baseline"/>
        <w:rPr>
          <w:rFonts w:hint="eastAsia" w:ascii="宋体" w:hAnsi="宋体" w:eastAsia="宋体" w:cs="宋体"/>
          <w:bCs/>
          <w:color w:val="000000"/>
          <w:sz w:val="24"/>
        </w:rPr>
      </w:pPr>
      <w:r>
        <w:rPr>
          <w:rFonts w:hint="eastAsia" w:ascii="宋体" w:hAnsi="宋体" w:eastAsia="宋体" w:cs="宋体"/>
          <w:bCs/>
          <w:color w:val="000000"/>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B2E3951">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不可抗力事件处理</w:t>
      </w:r>
    </w:p>
    <w:p w14:paraId="20DE4211">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1.在合同有效期内，任何一方因不可抗力事件导致不能履行合同，则合同履行期可延长，其延长期与不可抗力影响期相同。</w:t>
      </w:r>
    </w:p>
    <w:p w14:paraId="6958E98E">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2.不可抗力事件发生后，应立即通知对方，并寄送有关权威机构出具的证明。</w:t>
      </w:r>
    </w:p>
    <w:p w14:paraId="6BC90B8C">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3.不可抗力事件延续</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E115ABB">
      <w:pPr>
        <w:numPr>
          <w:ilvl w:val="0"/>
          <w:numId w:val="1"/>
        </w:numPr>
        <w:spacing w:line="360" w:lineRule="auto"/>
        <w:rPr>
          <w:rFonts w:hint="eastAsia" w:ascii="宋体" w:hAnsi="宋体" w:eastAsia="宋体" w:cs="宋体"/>
          <w:b/>
          <w:color w:val="000000"/>
          <w:sz w:val="24"/>
        </w:rPr>
      </w:pPr>
      <w:bookmarkStart w:id="18" w:name="_Toc185395254"/>
      <w:bookmarkStart w:id="19" w:name="_Toc225654649"/>
      <w:bookmarkStart w:id="20" w:name="_Toc225244857"/>
      <w:bookmarkStart w:id="21" w:name="_Toc232492933"/>
      <w:bookmarkStart w:id="22" w:name="_Toc212019599"/>
      <w:bookmarkStart w:id="23" w:name="_Toc251768867"/>
      <w:bookmarkStart w:id="24" w:name="_Toc238984980"/>
      <w:bookmarkStart w:id="25" w:name="_Toc286993792"/>
      <w:bookmarkStart w:id="26" w:name="_Toc225670756"/>
      <w:bookmarkStart w:id="27" w:name="_Toc237145411"/>
      <w:bookmarkStart w:id="28" w:name="_Toc241833908"/>
      <w:bookmarkStart w:id="29" w:name="_Toc211911353"/>
      <w:bookmarkStart w:id="30" w:name="_Toc239233919"/>
      <w:bookmarkStart w:id="31" w:name="_Toc247334846"/>
      <w:bookmarkStart w:id="32" w:name="_Toc239568423"/>
      <w:bookmarkStart w:id="33" w:name="_Toc211854454"/>
      <w:r>
        <w:rPr>
          <w:rFonts w:hint="eastAsia" w:ascii="宋体" w:hAnsi="宋体" w:eastAsia="宋体" w:cs="宋体"/>
          <w:b/>
          <w:color w:val="000000"/>
          <w:sz w:val="24"/>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56A81C4">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1.在执行本合同中发生的或与本合同有关的争端，双方应通过友好协商解决，经协商在</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天内不能达成协议时，应提交</w:t>
      </w:r>
      <w:r>
        <w:rPr>
          <w:rFonts w:hint="eastAsia" w:ascii="宋体" w:hAnsi="宋体" w:eastAsia="宋体" w:cs="宋体"/>
          <w:color w:val="000000"/>
          <w:sz w:val="24"/>
          <w:u w:val="single"/>
        </w:rPr>
        <w:t>仲裁委员会</w:t>
      </w:r>
      <w:r>
        <w:rPr>
          <w:rFonts w:hint="eastAsia" w:ascii="宋体" w:hAnsi="宋体" w:eastAsia="宋体" w:cs="宋体"/>
          <w:color w:val="000000"/>
          <w:sz w:val="24"/>
        </w:rPr>
        <w:t>予以进行仲裁。</w:t>
      </w:r>
    </w:p>
    <w:p w14:paraId="2C08DC69">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2.仲裁裁决应为最终决定，并对双方具有约束力。</w:t>
      </w:r>
    </w:p>
    <w:p w14:paraId="56994772">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3.除另有裁决外，仲裁费应由败诉方负担。 </w:t>
      </w:r>
    </w:p>
    <w:p w14:paraId="485C9727">
      <w:pPr>
        <w:tabs>
          <w:tab w:val="left" w:pos="0"/>
        </w:tabs>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4.在仲裁期间，除正在进行仲裁部分外，合同其他部分继续执行。  </w:t>
      </w:r>
    </w:p>
    <w:p w14:paraId="4C9312E0">
      <w:pPr>
        <w:numPr>
          <w:ilvl w:val="0"/>
          <w:numId w:val="1"/>
        </w:numPr>
        <w:spacing w:line="360" w:lineRule="auto"/>
        <w:rPr>
          <w:rFonts w:hint="eastAsia" w:ascii="宋体" w:hAnsi="宋体" w:eastAsia="宋体" w:cs="宋体"/>
          <w:b/>
          <w:color w:val="000000"/>
          <w:sz w:val="24"/>
        </w:rPr>
      </w:pPr>
      <w:bookmarkStart w:id="34" w:name="_Toc241833909"/>
      <w:bookmarkStart w:id="35" w:name="_Toc211911354"/>
      <w:bookmarkStart w:id="36" w:name="_Toc212019600"/>
      <w:bookmarkStart w:id="37" w:name="_Toc225670757"/>
      <w:bookmarkStart w:id="38" w:name="_Toc237145412"/>
      <w:bookmarkStart w:id="39" w:name="_Toc185395255"/>
      <w:bookmarkStart w:id="40" w:name="_Toc283019219"/>
      <w:bookmarkStart w:id="41" w:name="_Toc225654650"/>
      <w:bookmarkStart w:id="42" w:name="_Toc239568424"/>
      <w:bookmarkStart w:id="43" w:name="_Toc238984981"/>
      <w:bookmarkStart w:id="44" w:name="_Toc225244858"/>
      <w:bookmarkStart w:id="45" w:name="_Toc282696231"/>
      <w:bookmarkStart w:id="46" w:name="_Toc251768868"/>
      <w:bookmarkStart w:id="47" w:name="_Toc247334847"/>
      <w:bookmarkStart w:id="48" w:name="_Toc232492934"/>
      <w:bookmarkStart w:id="49" w:name="_Toc286993793"/>
      <w:bookmarkStart w:id="50" w:name="_Toc239233920"/>
      <w:bookmarkStart w:id="51" w:name="_Toc211854455"/>
      <w:r>
        <w:rPr>
          <w:rFonts w:hint="eastAsia" w:ascii="宋体" w:hAnsi="宋体" w:eastAsia="宋体" w:cs="宋体"/>
          <w:b/>
          <w:color w:val="000000"/>
          <w:sz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color w:val="000000"/>
          <w:sz w:val="24"/>
        </w:rPr>
        <w:t>生效及其他</w:t>
      </w:r>
    </w:p>
    <w:p w14:paraId="62B6BEDE">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1.合同经双方法定代表人或授权委托代理人签字并加盖单位公章后生效。</w:t>
      </w:r>
    </w:p>
    <w:p w14:paraId="694C25C8">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2.合同执行中涉及资金和采购内容修改或补充的，须经甲方监督部门审批，并签订书面补充协议报甲方相关行政部门备案，方可作为主合同不可分割的一部分。</w:t>
      </w:r>
    </w:p>
    <w:p w14:paraId="08B4F079">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3.本合同一式</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份，自双方签章之日起生效。甲方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份，乙方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份，采购代理机构</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份，具有同等法律效力。</w:t>
      </w:r>
    </w:p>
    <w:p w14:paraId="4CF626FF">
      <w:pPr>
        <w:numPr>
          <w:ilvl w:val="0"/>
          <w:numId w:val="1"/>
        </w:numPr>
        <w:spacing w:line="360" w:lineRule="auto"/>
        <w:rPr>
          <w:rFonts w:hint="eastAsia" w:ascii="宋体" w:hAnsi="宋体" w:eastAsia="宋体" w:cs="宋体"/>
          <w:b/>
          <w:color w:val="000000"/>
          <w:sz w:val="24"/>
        </w:rPr>
      </w:pPr>
      <w:r>
        <w:rPr>
          <w:rFonts w:hint="eastAsia" w:ascii="宋体" w:hAnsi="宋体" w:eastAsia="宋体" w:cs="宋体"/>
          <w:b/>
          <w:color w:val="000000"/>
          <w:sz w:val="24"/>
        </w:rPr>
        <w:t>附件</w:t>
      </w:r>
    </w:p>
    <w:p w14:paraId="5D289120">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1.</w:t>
      </w:r>
      <w:r>
        <w:rPr>
          <w:rFonts w:hint="eastAsia" w:ascii="宋体" w:hAnsi="宋体" w:cs="宋体"/>
          <w:color w:val="000000"/>
          <w:sz w:val="24"/>
        </w:rPr>
        <w:t>招标文件</w:t>
      </w:r>
    </w:p>
    <w:p w14:paraId="7F1529F3">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2.澄清（或答疑）文件</w:t>
      </w:r>
    </w:p>
    <w:p w14:paraId="5F9BF5D1">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3.</w:t>
      </w:r>
      <w:r>
        <w:rPr>
          <w:rFonts w:hint="eastAsia" w:ascii="宋体" w:hAnsi="宋体" w:cs="宋体"/>
          <w:color w:val="000000"/>
          <w:sz w:val="24"/>
        </w:rPr>
        <w:t>投标文件</w:t>
      </w:r>
    </w:p>
    <w:p w14:paraId="303D0A19">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4.</w:t>
      </w:r>
      <w:r>
        <w:rPr>
          <w:rFonts w:hint="eastAsia" w:ascii="宋体" w:hAnsi="宋体" w:cs="宋体"/>
          <w:color w:val="000000"/>
          <w:sz w:val="24"/>
        </w:rPr>
        <w:t>中标通知书</w:t>
      </w:r>
    </w:p>
    <w:p w14:paraId="076D1686">
      <w:pPr>
        <w:pStyle w:val="9"/>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5.其他</w:t>
      </w:r>
    </w:p>
    <w:p w14:paraId="5277B842">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（以下无正文）</w:t>
      </w:r>
    </w:p>
    <w:p w14:paraId="3906F5A4">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甲方：</w:t>
      </w:r>
      <w:r>
        <w:rPr>
          <w:rFonts w:hint="eastAsia" w:ascii="宋体" w:hAnsi="宋体" w:eastAsia="宋体" w:cs="宋体"/>
          <w:color w:val="000000"/>
          <w:sz w:val="24"/>
          <w:u w:val="single"/>
        </w:rPr>
        <w:t>西安科技大学</w:t>
      </w:r>
      <w:r>
        <w:rPr>
          <w:rFonts w:hint="eastAsia" w:ascii="宋体" w:hAnsi="宋体" w:eastAsia="宋体" w:cs="宋体"/>
          <w:color w:val="000000"/>
          <w:sz w:val="24"/>
        </w:rPr>
        <w:t xml:space="preserve">（盖章）   </w:t>
      </w:r>
      <w:r>
        <w:rPr>
          <w:rFonts w:hint="eastAsia" w:ascii="宋体" w:hAnsi="宋体" w:eastAsia="宋体" w:cs="宋体"/>
          <w:color w:val="000000"/>
          <w:sz w:val="24"/>
        </w:rPr>
        <w:tab/>
      </w:r>
      <w:r>
        <w:rPr>
          <w:rFonts w:hint="eastAsia" w:ascii="宋体" w:hAnsi="宋体" w:eastAsia="宋体" w:cs="宋体"/>
          <w:color w:val="000000"/>
          <w:sz w:val="24"/>
        </w:rPr>
        <w:t xml:space="preserve">     乙方：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（盖章） </w:t>
      </w:r>
    </w:p>
    <w:p w14:paraId="1863F9B6">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法定代表人（授权代表）：</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法定代表人（授权代表）：</w:t>
      </w:r>
      <w:r>
        <w:rPr>
          <w:rFonts w:hint="eastAsia" w:ascii="宋体" w:hAnsi="宋体" w:eastAsia="宋体" w:cs="宋体"/>
          <w:color w:val="000000"/>
          <w:sz w:val="24"/>
          <w:u w:val="single"/>
        </w:rPr>
        <w:t xml:space="preserve">     </w:t>
      </w:r>
    </w:p>
    <w:p w14:paraId="4FDF0785">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地址：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地    址：</w:t>
      </w:r>
      <w:r>
        <w:rPr>
          <w:rFonts w:hint="eastAsia" w:ascii="宋体" w:hAnsi="宋体" w:eastAsia="宋体" w:cs="宋体"/>
          <w:color w:val="000000"/>
          <w:sz w:val="24"/>
          <w:u w:val="single"/>
        </w:rPr>
        <w:t xml:space="preserve">                 </w:t>
      </w:r>
    </w:p>
    <w:p w14:paraId="5F8591BC">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39EC0AEA">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p>
    <w:p w14:paraId="78304ACD">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37AD6D37">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p>
    <w:p w14:paraId="3601D414">
      <w:pPr>
        <w:pStyle w:val="3"/>
        <w:adjustRightInd w:val="0"/>
        <w:snapToGrid w:val="0"/>
        <w:spacing w:line="360" w:lineRule="auto"/>
        <w:ind w:firstLine="480" w:firstLineChars="200"/>
        <w:jc w:val="center"/>
        <w:rPr>
          <w:rFonts w:hint="eastAsia" w:hAnsi="宋体" w:eastAsia="宋体" w:cs="宋体"/>
          <w:b/>
          <w:bCs/>
          <w:color w:val="000000"/>
          <w:sz w:val="24"/>
        </w:rPr>
      </w:pPr>
      <w:r>
        <w:rPr>
          <w:rFonts w:hint="eastAsia" w:hAnsi="宋体" w:eastAsia="宋体" w:cs="宋体"/>
          <w:color w:val="000000"/>
          <w:sz w:val="24"/>
        </w:rPr>
        <w:t>签约日期：2025年</w:t>
      </w:r>
      <w:r>
        <w:rPr>
          <w:rFonts w:hint="eastAsia" w:hAnsi="宋体" w:eastAsia="宋体" w:cs="宋体"/>
          <w:color w:val="000000"/>
          <w:sz w:val="24"/>
          <w:u w:val="single"/>
        </w:rPr>
        <w:t xml:space="preserve">    </w:t>
      </w:r>
      <w:r>
        <w:rPr>
          <w:rFonts w:hint="eastAsia" w:hAnsi="宋体" w:eastAsia="宋体" w:cs="宋体"/>
          <w:color w:val="000000"/>
          <w:sz w:val="24"/>
        </w:rPr>
        <w:t>月</w:t>
      </w:r>
      <w:r>
        <w:rPr>
          <w:rFonts w:hint="eastAsia" w:hAnsi="宋体" w:eastAsia="宋体" w:cs="宋体"/>
          <w:color w:val="000000"/>
          <w:sz w:val="24"/>
          <w:u w:val="single"/>
        </w:rPr>
        <w:t xml:space="preserve">    </w:t>
      </w:r>
      <w:r>
        <w:rPr>
          <w:rFonts w:hint="eastAsia" w:hAnsi="宋体" w:eastAsia="宋体" w:cs="宋体"/>
          <w:color w:val="000000"/>
          <w:sz w:val="24"/>
        </w:rPr>
        <w:t>日          签约日期：2025年</w:t>
      </w:r>
      <w:r>
        <w:rPr>
          <w:rFonts w:hint="eastAsia" w:hAnsi="宋体" w:eastAsia="宋体" w:cs="宋体"/>
          <w:color w:val="000000"/>
          <w:sz w:val="24"/>
          <w:u w:val="single"/>
        </w:rPr>
        <w:t xml:space="preserve">    </w:t>
      </w:r>
      <w:r>
        <w:rPr>
          <w:rFonts w:hint="eastAsia" w:hAnsi="宋体" w:eastAsia="宋体" w:cs="宋体"/>
          <w:color w:val="000000"/>
          <w:sz w:val="24"/>
        </w:rPr>
        <w:t>月</w:t>
      </w:r>
      <w:r>
        <w:rPr>
          <w:rFonts w:hint="eastAsia" w:hAnsi="宋体" w:eastAsia="宋体" w:cs="宋体"/>
          <w:color w:val="000000"/>
          <w:sz w:val="24"/>
          <w:u w:val="single"/>
        </w:rPr>
        <w:t xml:space="preserve">    </w:t>
      </w:r>
      <w:r>
        <w:rPr>
          <w:rFonts w:hint="eastAsia" w:hAnsi="宋体" w:eastAsia="宋体" w:cs="宋体"/>
          <w:color w:val="000000"/>
          <w:sz w:val="24"/>
        </w:rPr>
        <w:t xml:space="preserve">日 </w:t>
      </w:r>
    </w:p>
    <w:p w14:paraId="2770D7FD">
      <w:pPr>
        <w:adjustRightInd w:val="0"/>
        <w:snapToGrid w:val="0"/>
        <w:spacing w:line="360" w:lineRule="auto"/>
        <w:rPr>
          <w:rFonts w:hint="eastAsia" w:ascii="宋体" w:hAnsi="宋体" w:eastAsia="宋体" w:cs="宋体"/>
          <w:bCs/>
          <w:color w:val="000000"/>
          <w:szCs w:val="44"/>
        </w:rPr>
      </w:pPr>
      <w:r>
        <w:rPr>
          <w:rFonts w:hint="eastAsia" w:ascii="宋体" w:hAnsi="宋体" w:eastAsia="宋体" w:cs="宋体"/>
          <w:b/>
          <w:color w:val="000000"/>
          <w:sz w:val="24"/>
        </w:rPr>
        <w:t xml:space="preserve"> </w:t>
      </w:r>
    </w:p>
    <w:p w14:paraId="73109F0B">
      <w:pPr>
        <w:adjustRightInd w:val="0"/>
        <w:snapToGrid w:val="0"/>
        <w:spacing w:line="360" w:lineRule="auto"/>
        <w:ind w:firstLine="480" w:firstLineChars="200"/>
        <w:rPr>
          <w:rFonts w:hint="eastAsia" w:ascii="宋体" w:hAnsi="宋体" w:cs="宋体"/>
          <w:b/>
          <w:color w:val="000000"/>
          <w:sz w:val="48"/>
          <w:szCs w:val="48"/>
        </w:rPr>
      </w:pPr>
      <w:r>
        <w:rPr>
          <w:rFonts w:hint="eastAsia" w:ascii="宋体" w:hAnsi="宋体" w:eastAsia="宋体" w:cs="宋体"/>
          <w:color w:val="000000"/>
          <w:sz w:val="24"/>
        </w:rPr>
        <w:t>签订地点：</w:t>
      </w:r>
      <w:r>
        <w:rPr>
          <w:rFonts w:hint="eastAsia" w:ascii="宋体" w:hAnsi="宋体" w:eastAsia="宋体" w:cs="宋体"/>
          <w:color w:val="000000"/>
          <w:sz w:val="24"/>
          <w:u w:val="single"/>
        </w:rPr>
        <w:t xml:space="preserve">                       </w:t>
      </w:r>
    </w:p>
    <w:p w14:paraId="0F25A44D">
      <w:pPr>
        <w:adjustRightInd w:val="0"/>
        <w:snapToGrid w:val="0"/>
        <w:spacing w:line="360" w:lineRule="auto"/>
        <w:rPr>
          <w:rFonts w:hint="eastAsia" w:ascii="宋体" w:hAnsi="宋体" w:eastAsia="宋体" w:cs="宋体"/>
          <w:b/>
          <w:sz w:val="44"/>
          <w:szCs w:val="44"/>
        </w:rPr>
      </w:pPr>
    </w:p>
    <w:p w14:paraId="69BB5F57"/>
    <w:sectPr>
      <w:footerReference r:id="rId6" w:type="default"/>
      <w:pgSz w:w="11906" w:h="16838"/>
      <w:pgMar w:top="1440" w:right="1800" w:bottom="1440" w:left="1800" w:header="851" w:footer="992" w:gutter="0"/>
      <w:pgNumType w:start="6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4F35C">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4A3AC">
                          <w:pPr>
                            <w:pStyle w:val="4"/>
                          </w:pPr>
                          <w:r>
                            <w:t xml:space="preserve">第 </w:t>
                          </w:r>
                          <w:r>
                            <w:fldChar w:fldCharType="begin"/>
                          </w:r>
                          <w:r>
                            <w:instrText xml:space="preserve"> PAGE  \* MERGEFORMAT </w:instrText>
                          </w:r>
                          <w:r>
                            <w:fldChar w:fldCharType="separate"/>
                          </w:r>
                          <w:r>
                            <w:t>10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6324A3AC">
                    <w:pPr>
                      <w:pStyle w:val="4"/>
                    </w:pPr>
                    <w:r>
                      <w:t xml:space="preserve">第 </w:t>
                    </w:r>
                    <w:r>
                      <w:fldChar w:fldCharType="begin"/>
                    </w:r>
                    <w:r>
                      <w:instrText xml:space="preserve"> PAGE  \* MERGEFORMAT </w:instrText>
                    </w:r>
                    <w:r>
                      <w:fldChar w:fldCharType="separate"/>
                    </w:r>
                    <w:r>
                      <w:t>10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4F690">
    <w:pPr>
      <w:pStyle w:val="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A064F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43A064F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81C9B">
    <w:pPr>
      <w:pStyle w:val="4"/>
      <w:tabs>
        <w:tab w:val="left" w:pos="583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D6B874">
                          <w:pPr>
                            <w:pStyle w:val="4"/>
                          </w:pPr>
                          <w:r>
                            <w:t xml:space="preserve">第 </w:t>
                          </w:r>
                          <w:r>
                            <w:fldChar w:fldCharType="begin"/>
                          </w:r>
                          <w:r>
                            <w:instrText xml:space="preserve"> PAGE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4D6B874">
                    <w:pPr>
                      <w:pStyle w:val="4"/>
                    </w:pPr>
                    <w:r>
                      <w:t xml:space="preserve">第 </w:t>
                    </w:r>
                    <w:r>
                      <w:fldChar w:fldCharType="begin"/>
                    </w:r>
                    <w:r>
                      <w:instrText xml:space="preserve"> PAGE  \* MERGEFORMAT </w:instrText>
                    </w:r>
                    <w:r>
                      <w:fldChar w:fldCharType="separate"/>
                    </w:r>
                    <w:r>
                      <w:t>72</w:t>
                    </w:r>
                    <w:r>
                      <w:fldChar w:fldCharType="end"/>
                    </w:r>
                    <w: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9AD1E">
    <w:pPr>
      <w:pStyle w:val="5"/>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94154A"/>
    <w:rsid w:val="62573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cs="Times New Roman"/>
      <w:kern w:val="0"/>
      <w:sz w:val="20"/>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HTML 预设格式1"/>
    <w:basedOn w:val="1"/>
    <w:qFormat/>
    <w:uiPriority w:val="0"/>
    <w:rPr>
      <w:rFonts w:ascii="Courier New" w:hAnsi="Courier New"/>
      <w:sz w:val="20"/>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1931</Words>
  <Characters>1984</Characters>
  <Lines>0</Lines>
  <Paragraphs>0</Paragraphs>
  <TotalTime>0</TotalTime>
  <ScaleCrop>false</ScaleCrop>
  <LinksUpToDate>false</LinksUpToDate>
  <CharactersWithSpaces>2457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2025-07-14T02:58:00Z</dcterms:created>
  <dc:creator>A</dc:creator>
  <cp:lastModifiedBy>开瑞</cp:lastModifiedBy>
  <dcterms:modified xsi:type="dcterms:W3CDTF">2025-08-05T03:37:43Z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F29F09E640A14FAC8991DB9C24012A0F_12</vt:lpwstr>
  </property>
</Properties>
</file>