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30FC2">
      <w:pPr>
        <w:adjustRightInd w:val="0"/>
        <w:snapToGrid w:val="0"/>
        <w:jc w:val="center"/>
        <w:rPr>
          <w:rFonts w:hint="eastAsia" w:ascii="宋体" w:hAnsi="宋体" w:cs="Tahoma"/>
          <w:b/>
          <w:color w:val="000000" w:themeColor="text1"/>
          <w:spacing w:val="20"/>
          <w:sz w:val="52"/>
          <w:szCs w:val="36"/>
        </w:rPr>
      </w:pPr>
    </w:p>
    <w:p w14:paraId="0C07430E">
      <w:pPr>
        <w:adjustRightInd w:val="0"/>
        <w:snapToGrid w:val="0"/>
        <w:jc w:val="center"/>
        <w:rPr>
          <w:rFonts w:hint="eastAsia" w:ascii="宋体" w:hAnsi="宋体" w:cs="Tahoma"/>
          <w:b/>
          <w:color w:val="000000" w:themeColor="text1"/>
          <w:spacing w:val="20"/>
          <w:sz w:val="52"/>
          <w:szCs w:val="36"/>
        </w:rPr>
      </w:pPr>
    </w:p>
    <w:p w14:paraId="2C25A4AB">
      <w:pPr>
        <w:adjustRightInd w:val="0"/>
        <w:snapToGrid w:val="0"/>
        <w:jc w:val="center"/>
        <w:rPr>
          <w:rFonts w:hint="eastAsia" w:ascii="宋体" w:hAnsi="宋体" w:cs="Tahoma"/>
          <w:b/>
          <w:color w:val="000000" w:themeColor="text1"/>
          <w:spacing w:val="20"/>
          <w:sz w:val="52"/>
          <w:szCs w:val="36"/>
        </w:rPr>
      </w:pPr>
      <w:r>
        <w:rPr>
          <w:rFonts w:hint="eastAsia" w:ascii="宋体" w:hAnsi="宋体" w:cs="Tahoma"/>
          <w:b/>
          <w:color w:val="000000" w:themeColor="text1"/>
          <w:spacing w:val="20"/>
          <w:sz w:val="52"/>
          <w:szCs w:val="36"/>
        </w:rPr>
        <w:t>陕西国防工业职业技术学院</w:t>
      </w:r>
    </w:p>
    <w:p w14:paraId="2003B58C">
      <w:pPr>
        <w:spacing w:line="480" w:lineRule="exact"/>
        <w:jc w:val="center"/>
        <w:rPr>
          <w:rFonts w:ascii="宋体" w:hAnsi="宋体" w:cs="宋体"/>
          <w:color w:val="000000" w:themeColor="text1"/>
          <w:sz w:val="28"/>
          <w:szCs w:val="24"/>
        </w:rPr>
      </w:pPr>
      <w:r>
        <w:rPr>
          <w:rFonts w:hint="eastAsia" w:ascii="宋体" w:hAnsi="宋体" w:cs="宋体"/>
          <w:color w:val="000000" w:themeColor="text1"/>
          <w:sz w:val="20"/>
          <w:szCs w:val="24"/>
        </w:rPr>
        <w:t>（本模板为合同样稿，正式稿由双方依据</w:t>
      </w:r>
      <w:r>
        <w:rPr>
          <w:rFonts w:hint="eastAsia" w:ascii="宋体" w:hAnsi="宋体" w:cs="宋体"/>
          <w:color w:val="000000" w:themeColor="text1"/>
          <w:sz w:val="20"/>
          <w:szCs w:val="24"/>
          <w:lang w:eastAsia="zh-CN"/>
        </w:rPr>
        <w:t>公开</w:t>
      </w:r>
      <w:r>
        <w:rPr>
          <w:rFonts w:hint="eastAsia" w:ascii="宋体" w:hAnsi="宋体" w:cs="宋体"/>
          <w:color w:val="000000" w:themeColor="text1"/>
          <w:sz w:val="20"/>
          <w:szCs w:val="24"/>
        </w:rPr>
        <w:t>文件及</w:t>
      </w:r>
      <w:r>
        <w:rPr>
          <w:rFonts w:hint="eastAsia" w:ascii="宋体" w:hAnsi="宋体" w:cs="宋体"/>
          <w:color w:val="000000" w:themeColor="text1"/>
          <w:sz w:val="20"/>
          <w:szCs w:val="24"/>
          <w:lang w:eastAsia="zh-CN"/>
        </w:rPr>
        <w:t>投标</w:t>
      </w:r>
      <w:r>
        <w:rPr>
          <w:rFonts w:hint="eastAsia" w:ascii="宋体" w:hAnsi="宋体" w:cs="宋体"/>
          <w:color w:val="000000" w:themeColor="text1"/>
          <w:sz w:val="20"/>
          <w:szCs w:val="24"/>
        </w:rPr>
        <w:t>文件制定）</w:t>
      </w:r>
    </w:p>
    <w:p w14:paraId="422C02DE">
      <w:pPr>
        <w:pStyle w:val="6"/>
        <w:rPr>
          <w:color w:val="000000" w:themeColor="text1"/>
        </w:rPr>
      </w:pPr>
    </w:p>
    <w:p w14:paraId="36156356">
      <w:pPr>
        <w:adjustRightInd w:val="0"/>
        <w:snapToGrid w:val="0"/>
        <w:jc w:val="center"/>
        <w:rPr>
          <w:rFonts w:ascii="宋体" w:hAnsi="宋体" w:cs="Tahoma"/>
          <w:b/>
          <w:color w:val="000000" w:themeColor="text1"/>
          <w:spacing w:val="20"/>
          <w:sz w:val="52"/>
          <w:szCs w:val="36"/>
        </w:rPr>
      </w:pPr>
      <w:r>
        <w:rPr>
          <w:rFonts w:hint="eastAsia" w:ascii="宋体" w:hAnsi="宋体" w:cs="Tahoma"/>
          <w:b/>
          <w:color w:val="000000" w:themeColor="text1"/>
          <w:spacing w:val="20"/>
          <w:sz w:val="52"/>
          <w:szCs w:val="36"/>
        </w:rPr>
        <w:t>采购项目合同书</w:t>
      </w:r>
    </w:p>
    <w:p w14:paraId="44A58CDE">
      <w:pPr>
        <w:adjustRightInd w:val="0"/>
        <w:snapToGrid w:val="0"/>
        <w:ind w:left="2100" w:leftChars="1000"/>
        <w:rPr>
          <w:rFonts w:ascii="宋体" w:hAnsi="宋体" w:cs="Tahoma"/>
          <w:b/>
          <w:color w:val="000000" w:themeColor="text1"/>
          <w:sz w:val="28"/>
          <w:szCs w:val="28"/>
        </w:rPr>
      </w:pPr>
    </w:p>
    <w:p w14:paraId="11309AED">
      <w:pPr>
        <w:adjustRightInd w:val="0"/>
        <w:snapToGrid w:val="0"/>
        <w:jc w:val="center"/>
        <w:rPr>
          <w:rFonts w:ascii="Tahoma" w:hAnsi="Tahoma" w:cs="Tahoma"/>
          <w:b/>
          <w:color w:val="000000" w:themeColor="text1"/>
          <w:sz w:val="32"/>
        </w:rPr>
      </w:pPr>
    </w:p>
    <w:p w14:paraId="716F9B5A">
      <w:pPr>
        <w:adjustRightInd w:val="0"/>
        <w:snapToGrid w:val="0"/>
        <w:jc w:val="center"/>
        <w:rPr>
          <w:rFonts w:ascii="Tahoma" w:hAnsi="Tahoma" w:cs="Tahoma"/>
          <w:b/>
          <w:color w:val="000000" w:themeColor="text1"/>
          <w:sz w:val="32"/>
        </w:rPr>
      </w:pPr>
    </w:p>
    <w:p w14:paraId="2CD9E531">
      <w:pPr>
        <w:adjustRightInd w:val="0"/>
        <w:snapToGrid w:val="0"/>
        <w:jc w:val="center"/>
        <w:rPr>
          <w:rFonts w:hint="eastAsia" w:ascii="Tahoma" w:hAnsi="Tahoma" w:cs="Tahoma"/>
          <w:b/>
          <w:color w:val="000000" w:themeColor="text1"/>
          <w:sz w:val="32"/>
        </w:rPr>
      </w:pPr>
    </w:p>
    <w:p w14:paraId="00658514">
      <w:pPr>
        <w:pStyle w:val="6"/>
        <w:rPr>
          <w:rFonts w:hint="eastAsia"/>
          <w:color w:val="000000" w:themeColor="text1"/>
          <w:lang w:eastAsia="zh-CN"/>
        </w:rPr>
      </w:pPr>
    </w:p>
    <w:p w14:paraId="7EB2FFDD">
      <w:pPr>
        <w:pStyle w:val="6"/>
        <w:rPr>
          <w:rFonts w:hint="eastAsia"/>
          <w:color w:val="000000" w:themeColor="text1"/>
          <w:lang w:eastAsia="zh-CN"/>
        </w:rPr>
      </w:pPr>
    </w:p>
    <w:p w14:paraId="67468CF3">
      <w:pPr>
        <w:pStyle w:val="6"/>
        <w:rPr>
          <w:rFonts w:hint="eastAsia"/>
          <w:color w:val="000000" w:themeColor="text1"/>
          <w:lang w:eastAsia="zh-CN"/>
        </w:rPr>
      </w:pPr>
    </w:p>
    <w:p w14:paraId="4B28464A">
      <w:pPr>
        <w:pStyle w:val="6"/>
        <w:rPr>
          <w:rFonts w:hint="eastAsia"/>
          <w:color w:val="000000" w:themeColor="text1"/>
          <w:lang w:eastAsia="zh-CN"/>
        </w:rPr>
      </w:pPr>
    </w:p>
    <w:p w14:paraId="77E2867C">
      <w:pPr>
        <w:pStyle w:val="6"/>
        <w:rPr>
          <w:rFonts w:hint="eastAsia"/>
          <w:color w:val="000000" w:themeColor="text1"/>
          <w:lang w:eastAsia="zh-CN"/>
        </w:rPr>
      </w:pPr>
    </w:p>
    <w:p w14:paraId="74CF1F16">
      <w:pPr>
        <w:pStyle w:val="6"/>
        <w:rPr>
          <w:rFonts w:hint="eastAsia"/>
          <w:color w:val="000000" w:themeColor="text1"/>
          <w:lang w:eastAsia="zh-CN"/>
        </w:rPr>
      </w:pPr>
    </w:p>
    <w:p w14:paraId="4B821CF1">
      <w:pPr>
        <w:pStyle w:val="6"/>
        <w:rPr>
          <w:rFonts w:hint="eastAsia"/>
          <w:color w:val="000000" w:themeColor="text1"/>
          <w:lang w:eastAsia="zh-CN"/>
        </w:rPr>
      </w:pPr>
    </w:p>
    <w:p w14:paraId="70B9B05A">
      <w:pPr>
        <w:pStyle w:val="6"/>
        <w:rPr>
          <w:rFonts w:hint="eastAsia"/>
          <w:color w:val="000000" w:themeColor="text1"/>
          <w:lang w:eastAsia="zh-CN"/>
        </w:rPr>
      </w:pPr>
    </w:p>
    <w:p w14:paraId="7259DF94">
      <w:pPr>
        <w:pStyle w:val="6"/>
        <w:rPr>
          <w:rFonts w:hint="eastAsia"/>
          <w:color w:val="000000" w:themeColor="text1"/>
          <w:lang w:eastAsia="zh-CN"/>
        </w:rPr>
      </w:pPr>
    </w:p>
    <w:p w14:paraId="442C84A4">
      <w:pPr>
        <w:adjustRightInd w:val="0"/>
        <w:snapToGrid w:val="0"/>
        <w:ind w:left="1680" w:leftChars="800"/>
        <w:jc w:val="center"/>
        <w:rPr>
          <w:rFonts w:ascii="Tahoma" w:hAnsi="Tahoma" w:cs="Tahoma"/>
          <w:b/>
          <w:color w:val="000000" w:themeColor="text1"/>
          <w:sz w:val="32"/>
        </w:rPr>
      </w:pPr>
    </w:p>
    <w:p w14:paraId="0BE7ABAE">
      <w:pPr>
        <w:adjustRightInd w:val="0"/>
        <w:snapToGrid w:val="0"/>
        <w:spacing w:line="360" w:lineRule="auto"/>
        <w:ind w:firstLine="1405" w:firstLineChars="500"/>
        <w:rPr>
          <w:rFonts w:ascii="宋体" w:hAnsi="宋体" w:cs="Tahoma"/>
          <w:b/>
          <w:color w:val="000000" w:themeColor="text1"/>
          <w:sz w:val="28"/>
          <w:szCs w:val="28"/>
        </w:rPr>
      </w:pPr>
      <w:r>
        <w:rPr>
          <w:rFonts w:hint="eastAsia" w:ascii="宋体" w:hAnsi="宋体" w:cs="Tahoma"/>
          <w:b/>
          <w:color w:val="000000" w:themeColor="text1"/>
          <w:sz w:val="28"/>
          <w:szCs w:val="28"/>
        </w:rPr>
        <w:t>甲    方：</w:t>
      </w:r>
      <w:r>
        <w:rPr>
          <w:rFonts w:hint="eastAsia" w:ascii="宋体" w:hAnsi="宋体"/>
          <w:b/>
          <w:bCs/>
          <w:color w:val="000000" w:themeColor="text1"/>
          <w:sz w:val="28"/>
          <w:szCs w:val="28"/>
          <w:u w:val="single"/>
        </w:rPr>
        <w:t xml:space="preserve">陕西国防工业职业技术学院 </w:t>
      </w:r>
    </w:p>
    <w:p w14:paraId="78373816">
      <w:pPr>
        <w:adjustRightInd w:val="0"/>
        <w:snapToGrid w:val="0"/>
        <w:spacing w:line="360" w:lineRule="auto"/>
        <w:ind w:firstLine="1405" w:firstLineChars="500"/>
        <w:rPr>
          <w:rFonts w:ascii="宋体" w:hAnsi="宋体" w:cs="Tahoma"/>
          <w:b/>
          <w:color w:val="000000" w:themeColor="text1"/>
          <w:sz w:val="28"/>
          <w:szCs w:val="28"/>
        </w:rPr>
      </w:pPr>
      <w:r>
        <w:rPr>
          <w:rFonts w:hint="eastAsia" w:ascii="宋体" w:hAnsi="宋体" w:cs="Tahoma"/>
          <w:b/>
          <w:color w:val="000000" w:themeColor="text1"/>
          <w:sz w:val="28"/>
          <w:szCs w:val="28"/>
        </w:rPr>
        <w:t>乙    方：</w:t>
      </w:r>
      <w:r>
        <w:rPr>
          <w:rFonts w:hint="eastAsia" w:ascii="宋体" w:hAnsi="宋体"/>
          <w:b/>
          <w:bCs/>
          <w:color w:val="000000" w:themeColor="text1"/>
          <w:sz w:val="28"/>
          <w:szCs w:val="28"/>
          <w:u w:val="single"/>
        </w:rPr>
        <w:t xml:space="preserve">                         </w:t>
      </w:r>
    </w:p>
    <w:p w14:paraId="5668D544">
      <w:pPr>
        <w:adjustRightInd w:val="0"/>
        <w:snapToGrid w:val="0"/>
        <w:spacing w:line="360" w:lineRule="auto"/>
        <w:ind w:firstLine="1405" w:firstLineChars="500"/>
        <w:rPr>
          <w:rFonts w:ascii="宋体" w:hAnsi="宋体" w:cs="Tahoma"/>
          <w:b/>
          <w:color w:val="000000" w:themeColor="text1"/>
          <w:sz w:val="28"/>
          <w:szCs w:val="28"/>
          <w:u w:val="single"/>
        </w:rPr>
      </w:pPr>
      <w:r>
        <w:rPr>
          <w:rFonts w:hint="eastAsia" w:ascii="宋体" w:hAnsi="宋体" w:cs="Tahoma"/>
          <w:b/>
          <w:color w:val="000000" w:themeColor="text1"/>
          <w:sz w:val="28"/>
          <w:szCs w:val="28"/>
        </w:rPr>
        <w:t>合同签订地点：</w:t>
      </w:r>
      <w:r>
        <w:rPr>
          <w:rFonts w:hint="eastAsia" w:ascii="宋体" w:hAnsi="宋体" w:cs="Tahoma"/>
          <w:b/>
          <w:color w:val="000000" w:themeColor="text1"/>
          <w:sz w:val="28"/>
          <w:szCs w:val="28"/>
          <w:u w:val="single"/>
        </w:rPr>
        <w:t xml:space="preserve">陕西国防工业职业技术学院 </w:t>
      </w:r>
    </w:p>
    <w:p w14:paraId="72E9AC25">
      <w:pPr>
        <w:adjustRightInd w:val="0"/>
        <w:snapToGrid w:val="0"/>
        <w:spacing w:line="360" w:lineRule="auto"/>
        <w:ind w:firstLine="1405" w:firstLineChars="500"/>
        <w:rPr>
          <w:rFonts w:ascii="宋体" w:hAnsi="宋体"/>
          <w:color w:val="000000" w:themeColor="text1"/>
          <w:szCs w:val="24"/>
        </w:rPr>
      </w:pPr>
      <w:r>
        <w:rPr>
          <w:rFonts w:hint="eastAsia" w:ascii="宋体" w:hAnsi="宋体" w:cs="Tahoma"/>
          <w:b/>
          <w:color w:val="000000" w:themeColor="text1"/>
          <w:sz w:val="28"/>
          <w:szCs w:val="28"/>
        </w:rPr>
        <w:t>合同签订时间：</w:t>
      </w:r>
      <w:r>
        <w:rPr>
          <w:rFonts w:hint="eastAsia" w:ascii="宋体" w:hAnsi="宋体" w:cs="Tahoma"/>
          <w:b/>
          <w:color w:val="000000" w:themeColor="text1"/>
          <w:sz w:val="28"/>
          <w:szCs w:val="28"/>
          <w:u w:val="single"/>
        </w:rPr>
        <w:t xml:space="preserve">      202</w:t>
      </w:r>
      <w:r>
        <w:rPr>
          <w:rFonts w:hint="eastAsia" w:ascii="宋体" w:hAnsi="宋体" w:cs="Tahoma"/>
          <w:b/>
          <w:color w:val="000000" w:themeColor="text1"/>
          <w:sz w:val="28"/>
          <w:szCs w:val="28"/>
          <w:u w:val="single"/>
          <w:lang w:val="en-US" w:eastAsia="zh-CN"/>
        </w:rPr>
        <w:t>5</w:t>
      </w:r>
      <w:r>
        <w:rPr>
          <w:rFonts w:hint="eastAsia" w:ascii="宋体" w:hAnsi="宋体" w:cs="Tahoma"/>
          <w:b/>
          <w:color w:val="000000" w:themeColor="text1"/>
          <w:sz w:val="28"/>
          <w:szCs w:val="28"/>
          <w:u w:val="single"/>
        </w:rPr>
        <w:t xml:space="preserve">年  月  日    </w:t>
      </w:r>
    </w:p>
    <w:p w14:paraId="27E07FD0">
      <w:pPr>
        <w:adjustRightInd w:val="0"/>
        <w:snapToGrid w:val="0"/>
        <w:spacing w:line="360" w:lineRule="auto"/>
        <w:ind w:firstLine="420" w:firstLineChars="200"/>
        <w:rPr>
          <w:rFonts w:hint="eastAsia" w:ascii="宋体" w:hAnsi="宋体" w:cs="宋体"/>
          <w:color w:val="000000" w:themeColor="text1"/>
          <w:kern w:val="28"/>
          <w:sz w:val="24"/>
          <w:szCs w:val="24"/>
        </w:rPr>
      </w:pPr>
      <w:r>
        <w:rPr>
          <w:rFonts w:ascii="宋体" w:hAnsi="宋体" w:cs="Tahoma"/>
          <w:color w:val="000000" w:themeColor="text1"/>
          <w:kern w:val="28"/>
          <w:szCs w:val="24"/>
        </w:rPr>
        <w:br w:type="page"/>
      </w:r>
      <w:r>
        <w:rPr>
          <w:rFonts w:hint="eastAsia" w:ascii="宋体" w:hAnsi="宋体" w:cs="宋体"/>
          <w:color w:val="000000" w:themeColor="text1"/>
          <w:kern w:val="28"/>
          <w:sz w:val="24"/>
          <w:szCs w:val="24"/>
        </w:rPr>
        <w:t>根据</w:t>
      </w:r>
      <w:r>
        <w:rPr>
          <w:rFonts w:hint="eastAsia" w:ascii="宋体" w:hAnsi="宋体" w:cs="宋体"/>
          <w:b/>
          <w:bCs/>
          <w:color w:val="000000" w:themeColor="text1"/>
          <w:kern w:val="28"/>
          <w:sz w:val="24"/>
          <w:szCs w:val="24"/>
          <w:lang w:eastAsia="zh-CN"/>
        </w:rPr>
        <w:t>陕西国防工业职业技术学院出口安全设备更新项目</w:t>
      </w:r>
      <w:r>
        <w:rPr>
          <w:rFonts w:hint="eastAsia" w:ascii="宋体" w:hAnsi="宋体" w:cs="宋体"/>
          <w:color w:val="000000" w:themeColor="text1"/>
          <w:kern w:val="28"/>
          <w:sz w:val="24"/>
          <w:szCs w:val="24"/>
        </w:rPr>
        <w:t>（项目编号：</w:t>
      </w:r>
      <w:r>
        <w:rPr>
          <w:rFonts w:hint="eastAsia" w:ascii="宋体" w:hAnsi="宋体" w:cs="宋体"/>
          <w:color w:val="000000" w:themeColor="text1"/>
          <w:kern w:val="28"/>
          <w:sz w:val="24"/>
          <w:szCs w:val="24"/>
          <w:lang w:eastAsia="zh-CN"/>
        </w:rPr>
        <w:t>ZJZBSX-250725-10921</w:t>
      </w:r>
      <w:r>
        <w:rPr>
          <w:rFonts w:hint="eastAsia" w:ascii="宋体" w:hAnsi="宋体" w:cs="宋体"/>
          <w:color w:val="000000" w:themeColor="text1"/>
          <w:kern w:val="28"/>
          <w:sz w:val="24"/>
          <w:szCs w:val="24"/>
        </w:rPr>
        <w:t>）</w:t>
      </w:r>
      <w:r>
        <w:rPr>
          <w:rFonts w:hint="eastAsia" w:ascii="宋体" w:hAnsi="宋体" w:cs="宋体"/>
          <w:color w:val="000000" w:themeColor="text1"/>
          <w:kern w:val="28"/>
          <w:sz w:val="24"/>
          <w:szCs w:val="24"/>
          <w:lang w:eastAsia="zh-CN"/>
        </w:rPr>
        <w:t>谈判</w:t>
      </w:r>
      <w:r>
        <w:rPr>
          <w:rFonts w:hint="eastAsia" w:ascii="宋体" w:hAnsi="宋体" w:cs="宋体"/>
          <w:color w:val="000000" w:themeColor="text1"/>
          <w:kern w:val="28"/>
          <w:sz w:val="24"/>
          <w:szCs w:val="24"/>
        </w:rPr>
        <w:t>结果，经</w:t>
      </w:r>
      <w:r>
        <w:rPr>
          <w:rFonts w:hint="eastAsia" w:ascii="宋体" w:hAnsi="宋体" w:cs="宋体"/>
          <w:b/>
          <w:color w:val="000000" w:themeColor="text1"/>
          <w:kern w:val="28"/>
          <w:sz w:val="24"/>
          <w:szCs w:val="24"/>
          <w:u w:val="single"/>
        </w:rPr>
        <w:t>陕西国防工业职业技术学院</w:t>
      </w:r>
      <w:r>
        <w:rPr>
          <w:rFonts w:hint="eastAsia" w:ascii="宋体" w:hAnsi="宋体" w:cs="宋体"/>
          <w:color w:val="000000" w:themeColor="text1"/>
          <w:kern w:val="28"/>
          <w:sz w:val="24"/>
          <w:szCs w:val="24"/>
        </w:rPr>
        <w:t>（以下简称</w:t>
      </w:r>
      <w:r>
        <w:rPr>
          <w:rFonts w:hint="eastAsia" w:ascii="宋体" w:hAnsi="宋体" w:cs="宋体"/>
          <w:b/>
          <w:bCs/>
          <w:color w:val="000000" w:themeColor="text1"/>
          <w:kern w:val="28"/>
          <w:sz w:val="24"/>
          <w:szCs w:val="24"/>
          <w:u w:val="single"/>
        </w:rPr>
        <w:t>甲方</w:t>
      </w:r>
      <w:r>
        <w:rPr>
          <w:rFonts w:hint="eastAsia" w:ascii="宋体" w:hAnsi="宋体" w:cs="宋体"/>
          <w:color w:val="000000" w:themeColor="text1"/>
          <w:kern w:val="28"/>
          <w:sz w:val="24"/>
          <w:szCs w:val="24"/>
        </w:rPr>
        <w:t>）与成交供应商</w:t>
      </w:r>
      <w:r>
        <w:rPr>
          <w:rFonts w:hint="eastAsia" w:ascii="宋体" w:hAnsi="宋体" w:cs="宋体"/>
          <w:b/>
          <w:color w:val="000000" w:themeColor="text1"/>
          <w:sz w:val="24"/>
          <w:szCs w:val="24"/>
          <w:u w:val="single"/>
        </w:rPr>
        <w:t xml:space="preserve">     公司</w:t>
      </w:r>
      <w:r>
        <w:rPr>
          <w:rFonts w:hint="eastAsia" w:ascii="宋体" w:hAnsi="宋体" w:cs="宋体"/>
          <w:color w:val="000000" w:themeColor="text1"/>
          <w:kern w:val="28"/>
          <w:sz w:val="24"/>
          <w:szCs w:val="24"/>
        </w:rPr>
        <w:t>（以下简称乙方）</w:t>
      </w:r>
      <w:r>
        <w:rPr>
          <w:rStyle w:val="9"/>
          <w:rFonts w:hint="eastAsia" w:ascii="宋体" w:hAnsi="宋体" w:cs="宋体"/>
          <w:color w:val="000000" w:themeColor="text1"/>
          <w:sz w:val="24"/>
          <w:szCs w:val="24"/>
        </w:rPr>
        <w:t>根据《中华人民共和国民法典》的有关规定，经双方平等协商，达成如下协议：</w:t>
      </w:r>
    </w:p>
    <w:p w14:paraId="0F31BC0D">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 xml:space="preserve">一、产品名称、数量、价格：                         </w:t>
      </w:r>
    </w:p>
    <w:tbl>
      <w:tblPr>
        <w:tblStyle w:val="7"/>
        <w:tblpPr w:leftFromText="180" w:rightFromText="180" w:vertAnchor="text" w:horzAnchor="margin" w:tblpXSpec="center" w:tblpY="15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759"/>
        <w:gridCol w:w="1370"/>
        <w:gridCol w:w="900"/>
        <w:gridCol w:w="1260"/>
        <w:gridCol w:w="900"/>
        <w:gridCol w:w="1080"/>
        <w:gridCol w:w="1260"/>
      </w:tblGrid>
      <w:tr w14:paraId="55943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646" w:type="dxa"/>
            <w:shd w:val="clear" w:color="auto" w:fill="D9D9D9"/>
            <w:vAlign w:val="center"/>
          </w:tcPr>
          <w:p w14:paraId="2A1310A5">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序号</w:t>
            </w:r>
          </w:p>
        </w:tc>
        <w:tc>
          <w:tcPr>
            <w:tcW w:w="1759" w:type="dxa"/>
            <w:shd w:val="clear" w:color="auto" w:fill="D9D9D9"/>
            <w:vAlign w:val="center"/>
          </w:tcPr>
          <w:p w14:paraId="23EBDA17">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货物名称</w:t>
            </w:r>
          </w:p>
        </w:tc>
        <w:tc>
          <w:tcPr>
            <w:tcW w:w="1370" w:type="dxa"/>
            <w:shd w:val="clear" w:color="auto" w:fill="D9D9D9"/>
            <w:vAlign w:val="center"/>
          </w:tcPr>
          <w:p w14:paraId="6ADDFDBF">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规格型号</w:t>
            </w:r>
          </w:p>
        </w:tc>
        <w:tc>
          <w:tcPr>
            <w:tcW w:w="900" w:type="dxa"/>
            <w:shd w:val="clear" w:color="auto" w:fill="D9D9D9"/>
            <w:vAlign w:val="center"/>
          </w:tcPr>
          <w:p w14:paraId="51FD14A2">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品牌</w:t>
            </w:r>
          </w:p>
        </w:tc>
        <w:tc>
          <w:tcPr>
            <w:tcW w:w="1260" w:type="dxa"/>
            <w:shd w:val="clear" w:color="auto" w:fill="D9D9D9"/>
            <w:vAlign w:val="center"/>
          </w:tcPr>
          <w:p w14:paraId="1BFEE8A9">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生产厂家</w:t>
            </w:r>
          </w:p>
        </w:tc>
        <w:tc>
          <w:tcPr>
            <w:tcW w:w="900" w:type="dxa"/>
            <w:shd w:val="clear" w:color="auto" w:fill="D9D9D9"/>
            <w:vAlign w:val="center"/>
          </w:tcPr>
          <w:p w14:paraId="43F69A36">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数量</w:t>
            </w:r>
          </w:p>
        </w:tc>
        <w:tc>
          <w:tcPr>
            <w:tcW w:w="1080" w:type="dxa"/>
            <w:shd w:val="clear" w:color="auto" w:fill="D9D9D9"/>
            <w:vAlign w:val="center"/>
          </w:tcPr>
          <w:p w14:paraId="326C7FED">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单价(元)</w:t>
            </w:r>
          </w:p>
        </w:tc>
        <w:tc>
          <w:tcPr>
            <w:tcW w:w="1260" w:type="dxa"/>
            <w:shd w:val="clear" w:color="auto" w:fill="D9D9D9"/>
            <w:vAlign w:val="center"/>
          </w:tcPr>
          <w:p w14:paraId="0BD55A55">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合计( 元)</w:t>
            </w:r>
          </w:p>
        </w:tc>
      </w:tr>
      <w:tr w14:paraId="392DB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646" w:type="dxa"/>
            <w:vAlign w:val="center"/>
          </w:tcPr>
          <w:p w14:paraId="554D46B2">
            <w:pPr>
              <w:adjustRightInd w:val="0"/>
              <w:snapToGrid w:val="0"/>
              <w:spacing w:line="360" w:lineRule="auto"/>
              <w:jc w:val="center"/>
              <w:rPr>
                <w:rFonts w:hint="eastAsia" w:ascii="宋体" w:hAnsi="宋体" w:cs="宋体"/>
                <w:color w:val="000000" w:themeColor="text1"/>
                <w:sz w:val="24"/>
                <w:szCs w:val="24"/>
              </w:rPr>
            </w:pPr>
            <w:r>
              <w:rPr>
                <w:rFonts w:hint="eastAsia" w:ascii="宋体" w:hAnsi="宋体" w:cs="宋体"/>
                <w:color w:val="000000" w:themeColor="text1"/>
                <w:sz w:val="24"/>
                <w:szCs w:val="24"/>
              </w:rPr>
              <w:t>1</w:t>
            </w:r>
          </w:p>
        </w:tc>
        <w:tc>
          <w:tcPr>
            <w:tcW w:w="1759" w:type="dxa"/>
            <w:vAlign w:val="center"/>
          </w:tcPr>
          <w:p w14:paraId="3430E6FF">
            <w:pPr>
              <w:adjustRightInd w:val="0"/>
              <w:snapToGrid w:val="0"/>
              <w:spacing w:line="360" w:lineRule="auto"/>
              <w:jc w:val="center"/>
              <w:rPr>
                <w:rFonts w:hint="eastAsia" w:ascii="宋体" w:hAnsi="宋体" w:cs="宋体"/>
                <w:color w:val="000000" w:themeColor="text1"/>
                <w:sz w:val="24"/>
                <w:szCs w:val="24"/>
              </w:rPr>
            </w:pPr>
          </w:p>
        </w:tc>
        <w:tc>
          <w:tcPr>
            <w:tcW w:w="1370" w:type="dxa"/>
            <w:vAlign w:val="center"/>
          </w:tcPr>
          <w:p w14:paraId="63722E9D">
            <w:pPr>
              <w:adjustRightInd w:val="0"/>
              <w:snapToGrid w:val="0"/>
              <w:spacing w:line="360" w:lineRule="auto"/>
              <w:jc w:val="center"/>
              <w:rPr>
                <w:rFonts w:hint="eastAsia" w:ascii="宋体" w:hAnsi="宋体" w:cs="宋体"/>
                <w:color w:val="000000" w:themeColor="text1"/>
                <w:sz w:val="24"/>
                <w:szCs w:val="24"/>
              </w:rPr>
            </w:pPr>
          </w:p>
        </w:tc>
        <w:tc>
          <w:tcPr>
            <w:tcW w:w="900" w:type="dxa"/>
          </w:tcPr>
          <w:p w14:paraId="2F807BD6">
            <w:pPr>
              <w:adjustRightInd w:val="0"/>
              <w:snapToGrid w:val="0"/>
              <w:spacing w:line="360" w:lineRule="auto"/>
              <w:jc w:val="center"/>
              <w:rPr>
                <w:rFonts w:hint="eastAsia" w:ascii="宋体" w:hAnsi="宋体" w:cs="宋体"/>
                <w:color w:val="000000" w:themeColor="text1"/>
                <w:sz w:val="24"/>
                <w:szCs w:val="24"/>
              </w:rPr>
            </w:pPr>
          </w:p>
        </w:tc>
        <w:tc>
          <w:tcPr>
            <w:tcW w:w="1260" w:type="dxa"/>
            <w:vAlign w:val="center"/>
          </w:tcPr>
          <w:p w14:paraId="3F1C1943">
            <w:pPr>
              <w:adjustRightInd w:val="0"/>
              <w:snapToGrid w:val="0"/>
              <w:spacing w:line="360" w:lineRule="auto"/>
              <w:jc w:val="center"/>
              <w:rPr>
                <w:rFonts w:hint="eastAsia" w:ascii="宋体" w:hAnsi="宋体" w:cs="宋体"/>
                <w:color w:val="000000" w:themeColor="text1"/>
                <w:sz w:val="24"/>
                <w:szCs w:val="24"/>
              </w:rPr>
            </w:pPr>
          </w:p>
        </w:tc>
        <w:tc>
          <w:tcPr>
            <w:tcW w:w="900" w:type="dxa"/>
            <w:vAlign w:val="center"/>
          </w:tcPr>
          <w:p w14:paraId="4CB2EB38">
            <w:pPr>
              <w:adjustRightInd w:val="0"/>
              <w:snapToGrid w:val="0"/>
              <w:spacing w:line="360" w:lineRule="auto"/>
              <w:jc w:val="center"/>
              <w:rPr>
                <w:rFonts w:hint="eastAsia" w:ascii="宋体" w:hAnsi="宋体" w:cs="宋体"/>
                <w:color w:val="000000" w:themeColor="text1"/>
                <w:sz w:val="24"/>
                <w:szCs w:val="24"/>
              </w:rPr>
            </w:pPr>
          </w:p>
        </w:tc>
        <w:tc>
          <w:tcPr>
            <w:tcW w:w="1080" w:type="dxa"/>
            <w:vAlign w:val="center"/>
          </w:tcPr>
          <w:p w14:paraId="1EBC0B2B">
            <w:pPr>
              <w:adjustRightInd w:val="0"/>
              <w:snapToGrid w:val="0"/>
              <w:spacing w:line="360" w:lineRule="auto"/>
              <w:jc w:val="center"/>
              <w:rPr>
                <w:rFonts w:hint="eastAsia" w:ascii="宋体" w:hAnsi="宋体" w:cs="宋体"/>
                <w:color w:val="000000" w:themeColor="text1"/>
                <w:sz w:val="24"/>
                <w:szCs w:val="24"/>
              </w:rPr>
            </w:pPr>
          </w:p>
        </w:tc>
        <w:tc>
          <w:tcPr>
            <w:tcW w:w="1260" w:type="dxa"/>
            <w:vAlign w:val="center"/>
          </w:tcPr>
          <w:p w14:paraId="069AAD85">
            <w:pPr>
              <w:adjustRightInd w:val="0"/>
              <w:snapToGrid w:val="0"/>
              <w:spacing w:line="360" w:lineRule="auto"/>
              <w:jc w:val="center"/>
              <w:rPr>
                <w:rFonts w:hint="eastAsia" w:ascii="宋体" w:hAnsi="宋体" w:cs="宋体"/>
                <w:color w:val="000000" w:themeColor="text1"/>
                <w:sz w:val="24"/>
                <w:szCs w:val="24"/>
              </w:rPr>
            </w:pPr>
          </w:p>
        </w:tc>
      </w:tr>
      <w:tr w14:paraId="466B5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646" w:type="dxa"/>
            <w:vAlign w:val="center"/>
          </w:tcPr>
          <w:p w14:paraId="14C5D289">
            <w:pPr>
              <w:adjustRightInd w:val="0"/>
              <w:snapToGrid w:val="0"/>
              <w:spacing w:line="360" w:lineRule="auto"/>
              <w:jc w:val="center"/>
              <w:rPr>
                <w:rFonts w:hint="eastAsia" w:ascii="宋体" w:hAnsi="宋体" w:cs="宋体"/>
                <w:color w:val="000000" w:themeColor="text1"/>
                <w:sz w:val="24"/>
                <w:szCs w:val="24"/>
              </w:rPr>
            </w:pPr>
            <w:r>
              <w:rPr>
                <w:rFonts w:hint="eastAsia" w:ascii="宋体" w:hAnsi="宋体" w:cs="宋体"/>
                <w:color w:val="000000" w:themeColor="text1"/>
                <w:sz w:val="24"/>
                <w:szCs w:val="24"/>
              </w:rPr>
              <w:t>2</w:t>
            </w:r>
          </w:p>
        </w:tc>
        <w:tc>
          <w:tcPr>
            <w:tcW w:w="1759" w:type="dxa"/>
            <w:vAlign w:val="center"/>
          </w:tcPr>
          <w:p w14:paraId="6B20B433">
            <w:pPr>
              <w:adjustRightInd w:val="0"/>
              <w:snapToGrid w:val="0"/>
              <w:spacing w:line="360" w:lineRule="auto"/>
              <w:jc w:val="center"/>
              <w:rPr>
                <w:rFonts w:hint="eastAsia" w:ascii="宋体" w:hAnsi="宋体" w:cs="宋体"/>
                <w:color w:val="000000" w:themeColor="text1"/>
                <w:sz w:val="24"/>
                <w:szCs w:val="24"/>
              </w:rPr>
            </w:pPr>
          </w:p>
        </w:tc>
        <w:tc>
          <w:tcPr>
            <w:tcW w:w="1370" w:type="dxa"/>
            <w:vAlign w:val="center"/>
          </w:tcPr>
          <w:p w14:paraId="3F5EA3D6">
            <w:pPr>
              <w:adjustRightInd w:val="0"/>
              <w:snapToGrid w:val="0"/>
              <w:spacing w:line="360" w:lineRule="auto"/>
              <w:jc w:val="center"/>
              <w:rPr>
                <w:rFonts w:hint="eastAsia" w:ascii="宋体" w:hAnsi="宋体" w:cs="宋体"/>
                <w:color w:val="000000" w:themeColor="text1"/>
                <w:sz w:val="24"/>
                <w:szCs w:val="24"/>
              </w:rPr>
            </w:pPr>
          </w:p>
        </w:tc>
        <w:tc>
          <w:tcPr>
            <w:tcW w:w="900" w:type="dxa"/>
          </w:tcPr>
          <w:p w14:paraId="7DD99F47">
            <w:pPr>
              <w:adjustRightInd w:val="0"/>
              <w:snapToGrid w:val="0"/>
              <w:spacing w:line="360" w:lineRule="auto"/>
              <w:jc w:val="center"/>
              <w:rPr>
                <w:rFonts w:hint="eastAsia" w:ascii="宋体" w:hAnsi="宋体" w:cs="宋体"/>
                <w:color w:val="000000" w:themeColor="text1"/>
                <w:sz w:val="24"/>
                <w:szCs w:val="24"/>
              </w:rPr>
            </w:pPr>
          </w:p>
        </w:tc>
        <w:tc>
          <w:tcPr>
            <w:tcW w:w="1260" w:type="dxa"/>
            <w:vAlign w:val="center"/>
          </w:tcPr>
          <w:p w14:paraId="0F9DAEB8">
            <w:pPr>
              <w:adjustRightInd w:val="0"/>
              <w:snapToGrid w:val="0"/>
              <w:spacing w:line="360" w:lineRule="auto"/>
              <w:jc w:val="center"/>
              <w:rPr>
                <w:rFonts w:hint="eastAsia" w:ascii="宋体" w:hAnsi="宋体" w:cs="宋体"/>
                <w:color w:val="000000" w:themeColor="text1"/>
                <w:sz w:val="24"/>
                <w:szCs w:val="24"/>
              </w:rPr>
            </w:pPr>
          </w:p>
        </w:tc>
        <w:tc>
          <w:tcPr>
            <w:tcW w:w="900" w:type="dxa"/>
            <w:vAlign w:val="center"/>
          </w:tcPr>
          <w:p w14:paraId="330D5A6D">
            <w:pPr>
              <w:adjustRightInd w:val="0"/>
              <w:snapToGrid w:val="0"/>
              <w:spacing w:line="360" w:lineRule="auto"/>
              <w:jc w:val="center"/>
              <w:rPr>
                <w:rFonts w:hint="eastAsia" w:ascii="宋体" w:hAnsi="宋体" w:cs="宋体"/>
                <w:color w:val="000000" w:themeColor="text1"/>
                <w:sz w:val="24"/>
                <w:szCs w:val="24"/>
              </w:rPr>
            </w:pPr>
          </w:p>
        </w:tc>
        <w:tc>
          <w:tcPr>
            <w:tcW w:w="1080" w:type="dxa"/>
            <w:vAlign w:val="center"/>
          </w:tcPr>
          <w:p w14:paraId="3A38AC7E">
            <w:pPr>
              <w:adjustRightInd w:val="0"/>
              <w:snapToGrid w:val="0"/>
              <w:spacing w:line="360" w:lineRule="auto"/>
              <w:jc w:val="center"/>
              <w:rPr>
                <w:rFonts w:hint="eastAsia" w:ascii="宋体" w:hAnsi="宋体" w:cs="宋体"/>
                <w:color w:val="000000" w:themeColor="text1"/>
                <w:sz w:val="24"/>
                <w:szCs w:val="24"/>
              </w:rPr>
            </w:pPr>
          </w:p>
        </w:tc>
        <w:tc>
          <w:tcPr>
            <w:tcW w:w="1260" w:type="dxa"/>
            <w:vAlign w:val="center"/>
          </w:tcPr>
          <w:p w14:paraId="7FFD8E02">
            <w:pPr>
              <w:adjustRightInd w:val="0"/>
              <w:snapToGrid w:val="0"/>
              <w:spacing w:line="360" w:lineRule="auto"/>
              <w:jc w:val="center"/>
              <w:rPr>
                <w:rFonts w:hint="eastAsia" w:ascii="宋体" w:hAnsi="宋体" w:cs="宋体"/>
                <w:color w:val="000000" w:themeColor="text1"/>
                <w:sz w:val="24"/>
                <w:szCs w:val="24"/>
              </w:rPr>
            </w:pPr>
          </w:p>
        </w:tc>
      </w:tr>
      <w:tr w14:paraId="52A88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646" w:type="dxa"/>
            <w:vAlign w:val="center"/>
          </w:tcPr>
          <w:p w14:paraId="06BC57C9">
            <w:pPr>
              <w:adjustRightInd w:val="0"/>
              <w:snapToGrid w:val="0"/>
              <w:spacing w:line="360" w:lineRule="auto"/>
              <w:jc w:val="center"/>
              <w:rPr>
                <w:rFonts w:hint="eastAsia" w:ascii="宋体" w:hAnsi="宋体" w:cs="宋体"/>
                <w:color w:val="000000" w:themeColor="text1"/>
                <w:sz w:val="24"/>
                <w:szCs w:val="24"/>
              </w:rPr>
            </w:pPr>
          </w:p>
        </w:tc>
        <w:tc>
          <w:tcPr>
            <w:tcW w:w="1759" w:type="dxa"/>
            <w:vAlign w:val="center"/>
          </w:tcPr>
          <w:p w14:paraId="28205D3F">
            <w:pPr>
              <w:adjustRightInd w:val="0"/>
              <w:snapToGrid w:val="0"/>
              <w:spacing w:line="360" w:lineRule="auto"/>
              <w:jc w:val="center"/>
              <w:rPr>
                <w:rFonts w:hint="eastAsia" w:ascii="宋体" w:hAnsi="宋体" w:cs="宋体"/>
                <w:color w:val="000000" w:themeColor="text1"/>
                <w:sz w:val="24"/>
                <w:szCs w:val="24"/>
              </w:rPr>
            </w:pPr>
          </w:p>
        </w:tc>
        <w:tc>
          <w:tcPr>
            <w:tcW w:w="1370" w:type="dxa"/>
            <w:vAlign w:val="center"/>
          </w:tcPr>
          <w:p w14:paraId="7CD519F5">
            <w:pPr>
              <w:adjustRightInd w:val="0"/>
              <w:snapToGrid w:val="0"/>
              <w:spacing w:line="360" w:lineRule="auto"/>
              <w:jc w:val="center"/>
              <w:rPr>
                <w:rFonts w:hint="eastAsia" w:ascii="宋体" w:hAnsi="宋体" w:cs="宋体"/>
                <w:color w:val="000000" w:themeColor="text1"/>
                <w:sz w:val="24"/>
                <w:szCs w:val="24"/>
              </w:rPr>
            </w:pPr>
          </w:p>
        </w:tc>
        <w:tc>
          <w:tcPr>
            <w:tcW w:w="900" w:type="dxa"/>
          </w:tcPr>
          <w:p w14:paraId="5D54FF6D">
            <w:pPr>
              <w:adjustRightInd w:val="0"/>
              <w:snapToGrid w:val="0"/>
              <w:spacing w:line="360" w:lineRule="auto"/>
              <w:jc w:val="center"/>
              <w:rPr>
                <w:rFonts w:hint="eastAsia" w:ascii="宋体" w:hAnsi="宋体" w:cs="宋体"/>
                <w:color w:val="000000" w:themeColor="text1"/>
                <w:sz w:val="24"/>
                <w:szCs w:val="24"/>
              </w:rPr>
            </w:pPr>
          </w:p>
        </w:tc>
        <w:tc>
          <w:tcPr>
            <w:tcW w:w="1260" w:type="dxa"/>
            <w:vAlign w:val="center"/>
          </w:tcPr>
          <w:p w14:paraId="76E1C83B">
            <w:pPr>
              <w:adjustRightInd w:val="0"/>
              <w:snapToGrid w:val="0"/>
              <w:spacing w:line="360" w:lineRule="auto"/>
              <w:jc w:val="center"/>
              <w:rPr>
                <w:rFonts w:hint="eastAsia" w:ascii="宋体" w:hAnsi="宋体" w:cs="宋体"/>
                <w:color w:val="000000" w:themeColor="text1"/>
                <w:sz w:val="24"/>
                <w:szCs w:val="24"/>
              </w:rPr>
            </w:pPr>
          </w:p>
        </w:tc>
        <w:tc>
          <w:tcPr>
            <w:tcW w:w="900" w:type="dxa"/>
            <w:vAlign w:val="center"/>
          </w:tcPr>
          <w:p w14:paraId="061C84FE">
            <w:pPr>
              <w:adjustRightInd w:val="0"/>
              <w:snapToGrid w:val="0"/>
              <w:spacing w:line="360" w:lineRule="auto"/>
              <w:jc w:val="center"/>
              <w:rPr>
                <w:rFonts w:hint="eastAsia" w:ascii="宋体" w:hAnsi="宋体" w:cs="宋体"/>
                <w:color w:val="000000" w:themeColor="text1"/>
                <w:sz w:val="24"/>
                <w:szCs w:val="24"/>
              </w:rPr>
            </w:pPr>
          </w:p>
        </w:tc>
        <w:tc>
          <w:tcPr>
            <w:tcW w:w="1080" w:type="dxa"/>
            <w:vAlign w:val="center"/>
          </w:tcPr>
          <w:p w14:paraId="2186AE21">
            <w:pPr>
              <w:adjustRightInd w:val="0"/>
              <w:snapToGrid w:val="0"/>
              <w:spacing w:line="360" w:lineRule="auto"/>
              <w:jc w:val="center"/>
              <w:rPr>
                <w:rFonts w:hint="eastAsia" w:ascii="宋体" w:hAnsi="宋体" w:cs="宋体"/>
                <w:color w:val="000000" w:themeColor="text1"/>
                <w:sz w:val="24"/>
                <w:szCs w:val="24"/>
              </w:rPr>
            </w:pPr>
          </w:p>
        </w:tc>
        <w:tc>
          <w:tcPr>
            <w:tcW w:w="1260" w:type="dxa"/>
            <w:vAlign w:val="center"/>
          </w:tcPr>
          <w:p w14:paraId="4833BB74">
            <w:pPr>
              <w:adjustRightInd w:val="0"/>
              <w:snapToGrid w:val="0"/>
              <w:spacing w:line="360" w:lineRule="auto"/>
              <w:jc w:val="center"/>
              <w:rPr>
                <w:rFonts w:hint="eastAsia" w:ascii="宋体" w:hAnsi="宋体" w:cs="宋体"/>
                <w:color w:val="000000" w:themeColor="text1"/>
                <w:sz w:val="24"/>
                <w:szCs w:val="24"/>
              </w:rPr>
            </w:pPr>
          </w:p>
        </w:tc>
      </w:tr>
      <w:tr w14:paraId="03FBC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646" w:type="dxa"/>
            <w:vAlign w:val="center"/>
          </w:tcPr>
          <w:p w14:paraId="485AB68B">
            <w:pPr>
              <w:adjustRightInd w:val="0"/>
              <w:snapToGrid w:val="0"/>
              <w:spacing w:line="360" w:lineRule="auto"/>
              <w:jc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合计</w:t>
            </w:r>
          </w:p>
        </w:tc>
        <w:tc>
          <w:tcPr>
            <w:tcW w:w="7269" w:type="dxa"/>
            <w:gridSpan w:val="6"/>
            <w:vAlign w:val="center"/>
          </w:tcPr>
          <w:p w14:paraId="37B022AD">
            <w:pPr>
              <w:adjustRightInd w:val="0"/>
              <w:snapToGrid w:val="0"/>
              <w:spacing w:line="360" w:lineRule="auto"/>
              <w:rPr>
                <w:rFonts w:hint="eastAsia" w:ascii="宋体" w:hAnsi="宋体" w:cs="宋体"/>
                <w:b/>
                <w:color w:val="000000" w:themeColor="text1"/>
                <w:sz w:val="24"/>
                <w:szCs w:val="24"/>
              </w:rPr>
            </w:pPr>
            <w:r>
              <w:rPr>
                <w:rFonts w:hint="eastAsia" w:ascii="宋体" w:hAnsi="宋体" w:cs="宋体"/>
                <w:b/>
                <w:color w:val="000000" w:themeColor="text1"/>
                <w:sz w:val="24"/>
                <w:szCs w:val="24"/>
              </w:rPr>
              <w:t xml:space="preserve">大写：                                      </w:t>
            </w:r>
          </w:p>
        </w:tc>
        <w:tc>
          <w:tcPr>
            <w:tcW w:w="1260" w:type="dxa"/>
            <w:vAlign w:val="center"/>
          </w:tcPr>
          <w:p w14:paraId="5F60118F">
            <w:pPr>
              <w:adjustRightInd w:val="0"/>
              <w:snapToGrid w:val="0"/>
              <w:spacing w:line="360" w:lineRule="auto"/>
              <w:jc w:val="center"/>
              <w:rPr>
                <w:rFonts w:hint="eastAsia" w:ascii="宋体" w:hAnsi="宋体" w:cs="宋体"/>
                <w:b/>
                <w:color w:val="000000" w:themeColor="text1"/>
                <w:sz w:val="24"/>
                <w:szCs w:val="24"/>
              </w:rPr>
            </w:pPr>
          </w:p>
        </w:tc>
      </w:tr>
    </w:tbl>
    <w:p w14:paraId="1DF614EA">
      <w:pPr>
        <w:widowControl/>
        <w:adjustRightInd w:val="0"/>
        <w:snapToGrid w:val="0"/>
        <w:spacing w:line="360" w:lineRule="auto"/>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 xml:space="preserve">    1、合同总金额包括</w:t>
      </w:r>
      <w:r>
        <w:rPr>
          <w:rFonts w:hint="eastAsia" w:ascii="宋体" w:hAnsi="宋体" w:cs="宋体"/>
          <w:color w:val="000000" w:themeColor="text1"/>
          <w:sz w:val="24"/>
          <w:szCs w:val="24"/>
        </w:rPr>
        <w:t>设备、安装、调试、技术服务、培训、验收、保修、税金等交钥匙</w:t>
      </w:r>
      <w:r>
        <w:rPr>
          <w:rFonts w:hint="eastAsia" w:ascii="宋体" w:hAnsi="宋体" w:cs="宋体"/>
          <w:color w:val="000000" w:themeColor="text1"/>
          <w:kern w:val="0"/>
          <w:sz w:val="24"/>
          <w:szCs w:val="24"/>
        </w:rPr>
        <w:t>全部费用，如果</w:t>
      </w:r>
      <w:r>
        <w:rPr>
          <w:rFonts w:hint="eastAsia" w:ascii="宋体" w:hAnsi="宋体" w:cs="宋体"/>
          <w:color w:val="000000" w:themeColor="text1"/>
          <w:kern w:val="0"/>
          <w:sz w:val="24"/>
          <w:szCs w:val="24"/>
          <w:lang w:eastAsia="zh-CN"/>
        </w:rPr>
        <w:t>竞争性谈判</w:t>
      </w:r>
      <w:r>
        <w:rPr>
          <w:rFonts w:hint="eastAsia" w:ascii="宋体" w:hAnsi="宋体" w:cs="宋体"/>
          <w:color w:val="000000" w:themeColor="text1"/>
          <w:kern w:val="0"/>
          <w:sz w:val="24"/>
          <w:szCs w:val="24"/>
        </w:rPr>
        <w:t>对其另有规定的，从其规定。</w:t>
      </w:r>
    </w:p>
    <w:p w14:paraId="5F5D8453">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二、质量标准：</w:t>
      </w:r>
    </w:p>
    <w:p w14:paraId="6D3805A7">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sz w:val="24"/>
          <w:szCs w:val="24"/>
        </w:rPr>
        <w:t>乙方提供的货物必须符合中华人民共和国国家安全环保标准，国家及有关行业产品质量认证标准。</w:t>
      </w:r>
      <w:r>
        <w:rPr>
          <w:rFonts w:hint="eastAsia" w:ascii="宋体" w:hAnsi="宋体" w:cs="宋体"/>
          <w:color w:val="000000" w:themeColor="text1"/>
          <w:sz w:val="24"/>
          <w:szCs w:val="24"/>
          <w:lang w:eastAsia="zh-CN"/>
        </w:rPr>
        <w:t>竞争性谈判</w:t>
      </w:r>
      <w:r>
        <w:rPr>
          <w:rFonts w:hint="eastAsia" w:ascii="宋体" w:hAnsi="宋体" w:cs="宋体"/>
          <w:color w:val="000000" w:themeColor="text1"/>
          <w:sz w:val="24"/>
          <w:szCs w:val="24"/>
        </w:rPr>
        <w:t>的质量要求及双方签字确认的技术协议</w:t>
      </w:r>
      <w:r>
        <w:rPr>
          <w:rFonts w:hint="eastAsia" w:ascii="宋体" w:hAnsi="宋体" w:cs="宋体"/>
          <w:color w:val="000000" w:themeColor="text1"/>
          <w:kern w:val="0"/>
          <w:sz w:val="24"/>
          <w:szCs w:val="24"/>
        </w:rPr>
        <w:t>作为本合同的有效附件。</w:t>
      </w:r>
    </w:p>
    <w:p w14:paraId="7FFCE1A7">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三、交货日期、方式及地点：</w:t>
      </w:r>
    </w:p>
    <w:p w14:paraId="6F2609F7">
      <w:pPr>
        <w:widowControl/>
        <w:adjustRightInd w:val="0"/>
        <w:snapToGrid w:val="0"/>
        <w:spacing w:line="360" w:lineRule="auto"/>
        <w:ind w:firstLine="470" w:firstLineChars="196"/>
        <w:jc w:val="left"/>
        <w:rPr>
          <w:rFonts w:hint="eastAsia" w:ascii="宋体" w:hAnsi="宋体" w:cs="宋体"/>
          <w:color w:val="000000" w:themeColor="text1"/>
          <w:sz w:val="24"/>
          <w:szCs w:val="24"/>
        </w:rPr>
      </w:pPr>
      <w:r>
        <w:rPr>
          <w:rFonts w:hint="eastAsia" w:ascii="宋体" w:hAnsi="宋体" w:cs="宋体"/>
          <w:bCs/>
          <w:color w:val="000000" w:themeColor="text1"/>
          <w:sz w:val="24"/>
          <w:szCs w:val="24"/>
        </w:rPr>
        <w:t>合同签订后</w:t>
      </w:r>
      <w:r>
        <w:rPr>
          <w:rFonts w:hint="eastAsia" w:ascii="宋体" w:hAnsi="宋体" w:cs="宋体"/>
          <w:bCs/>
          <w:color w:val="000000" w:themeColor="text1"/>
          <w:sz w:val="24"/>
          <w:szCs w:val="24"/>
          <w:u w:val="single"/>
        </w:rPr>
        <w:t xml:space="preserve">  </w:t>
      </w:r>
      <w:r>
        <w:rPr>
          <w:rFonts w:hint="eastAsia" w:ascii="宋体" w:hAnsi="宋体" w:cs="宋体"/>
          <w:color w:val="000000" w:themeColor="text1"/>
          <w:sz w:val="24"/>
          <w:szCs w:val="24"/>
          <w:u w:val="single"/>
        </w:rPr>
        <w:t xml:space="preserve"> </w:t>
      </w:r>
      <w:r>
        <w:rPr>
          <w:rFonts w:hint="eastAsia" w:ascii="宋体" w:hAnsi="宋体" w:cs="宋体"/>
          <w:color w:val="000000" w:themeColor="text1"/>
          <w:sz w:val="24"/>
          <w:szCs w:val="24"/>
          <w:u w:val="single"/>
          <w:lang w:val="en-US" w:eastAsia="zh-CN"/>
        </w:rPr>
        <w:t xml:space="preserve">   </w:t>
      </w:r>
      <w:r>
        <w:rPr>
          <w:rFonts w:hint="eastAsia" w:ascii="宋体" w:hAnsi="宋体" w:cs="宋体"/>
          <w:color w:val="000000" w:themeColor="text1"/>
          <w:sz w:val="24"/>
          <w:szCs w:val="24"/>
          <w:u w:val="single"/>
        </w:rPr>
        <w:t xml:space="preserve">  </w:t>
      </w:r>
      <w:r>
        <w:rPr>
          <w:rFonts w:hint="eastAsia" w:ascii="宋体" w:hAnsi="宋体" w:cs="宋体"/>
          <w:color w:val="000000" w:themeColor="text1"/>
          <w:sz w:val="24"/>
          <w:szCs w:val="24"/>
        </w:rPr>
        <w:t>日历</w:t>
      </w:r>
      <w:r>
        <w:rPr>
          <w:rFonts w:hint="eastAsia" w:ascii="宋体" w:hAnsi="宋体" w:cs="宋体"/>
          <w:bCs/>
          <w:color w:val="000000" w:themeColor="text1"/>
          <w:sz w:val="24"/>
          <w:szCs w:val="24"/>
        </w:rPr>
        <w:t>天内完成交货及安装、调试达到验收合格标准。</w:t>
      </w:r>
    </w:p>
    <w:p w14:paraId="4CEA1092">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四、乙方对质量保证的条件及期限：</w:t>
      </w:r>
    </w:p>
    <w:p w14:paraId="4D2BB14C">
      <w:pPr>
        <w:widowControl/>
        <w:adjustRightInd w:val="0"/>
        <w:snapToGrid w:val="0"/>
        <w:spacing w:line="360" w:lineRule="auto"/>
        <w:ind w:firstLine="470" w:firstLineChars="196"/>
        <w:jc w:val="left"/>
        <w:rPr>
          <w:rFonts w:hint="eastAsia" w:ascii="宋体" w:hAnsi="宋体" w:cs="宋体"/>
          <w:bCs/>
          <w:color w:val="000000" w:themeColor="text1"/>
          <w:sz w:val="24"/>
          <w:szCs w:val="24"/>
        </w:rPr>
      </w:pPr>
      <w:r>
        <w:rPr>
          <w:rFonts w:hint="eastAsia" w:ascii="宋体" w:hAnsi="宋体" w:cs="宋体"/>
          <w:bCs/>
          <w:color w:val="000000" w:themeColor="text1"/>
          <w:sz w:val="24"/>
          <w:szCs w:val="24"/>
        </w:rPr>
        <w:t xml:space="preserve">1、验收合格通过之日起 </w:t>
      </w:r>
      <w:r>
        <w:rPr>
          <w:rFonts w:hint="eastAsia" w:ascii="宋体" w:hAnsi="宋体" w:cs="宋体"/>
          <w:bCs/>
          <w:color w:val="000000" w:themeColor="text1"/>
          <w:sz w:val="24"/>
          <w:szCs w:val="24"/>
          <w:u w:val="single"/>
        </w:rPr>
        <w:t xml:space="preserve">   </w:t>
      </w:r>
      <w:r>
        <w:rPr>
          <w:rFonts w:hint="eastAsia" w:ascii="宋体" w:hAnsi="宋体" w:cs="宋体"/>
          <w:bCs/>
          <w:color w:val="000000" w:themeColor="text1"/>
          <w:sz w:val="24"/>
          <w:szCs w:val="24"/>
          <w:u w:val="single"/>
          <w:lang w:val="en-US" w:eastAsia="zh-CN"/>
        </w:rPr>
        <w:t xml:space="preserve">   </w:t>
      </w:r>
      <w:r>
        <w:rPr>
          <w:rFonts w:hint="eastAsia" w:ascii="宋体" w:hAnsi="宋体" w:cs="宋体"/>
          <w:bCs/>
          <w:color w:val="000000" w:themeColor="text1"/>
          <w:sz w:val="24"/>
          <w:szCs w:val="24"/>
          <w:u w:val="single"/>
        </w:rPr>
        <w:t xml:space="preserve">  </w:t>
      </w:r>
      <w:r>
        <w:rPr>
          <w:rFonts w:hint="eastAsia" w:ascii="宋体" w:hAnsi="宋体" w:cs="宋体"/>
          <w:bCs/>
          <w:color w:val="000000" w:themeColor="text1"/>
          <w:sz w:val="24"/>
          <w:szCs w:val="24"/>
        </w:rPr>
        <w:t>年。</w:t>
      </w:r>
    </w:p>
    <w:p w14:paraId="746F8D54">
      <w:pPr>
        <w:widowControl/>
        <w:adjustRightInd w:val="0"/>
        <w:snapToGrid w:val="0"/>
        <w:spacing w:line="360" w:lineRule="auto"/>
        <w:ind w:firstLine="470" w:firstLineChars="196"/>
        <w:jc w:val="left"/>
        <w:rPr>
          <w:rFonts w:hint="eastAsia" w:ascii="宋体" w:hAnsi="宋体" w:eastAsia="宋体" w:cs="宋体"/>
          <w:bCs/>
          <w:color w:val="000000" w:themeColor="text1"/>
          <w:sz w:val="24"/>
          <w:szCs w:val="24"/>
        </w:rPr>
      </w:pPr>
      <w:r>
        <w:rPr>
          <w:rFonts w:hint="eastAsia" w:ascii="宋体" w:hAnsi="宋体" w:eastAsia="宋体" w:cs="宋体"/>
          <w:bCs/>
          <w:color w:val="000000" w:themeColor="text1"/>
          <w:sz w:val="24"/>
          <w:szCs w:val="24"/>
        </w:rPr>
        <w:t>2、售后</w:t>
      </w:r>
      <w:bookmarkStart w:id="0" w:name="_GoBack"/>
      <w:r>
        <w:rPr>
          <w:rFonts w:hint="eastAsia" w:ascii="宋体" w:hAnsi="宋体" w:eastAsia="宋体" w:cs="宋体"/>
          <w:bCs/>
          <w:color w:val="000000" w:themeColor="text1"/>
          <w:sz w:val="24"/>
          <w:szCs w:val="24"/>
        </w:rPr>
        <w:t>服务</w:t>
      </w:r>
      <w:bookmarkEnd w:id="0"/>
      <w:r>
        <w:rPr>
          <w:rFonts w:hint="eastAsia" w:ascii="宋体" w:hAnsi="宋体" w:eastAsia="宋体" w:cs="宋体"/>
          <w:bCs/>
          <w:color w:val="000000" w:themeColor="text1"/>
          <w:sz w:val="24"/>
          <w:szCs w:val="24"/>
        </w:rPr>
        <w:t>响应时间（质保期内）：售后服务响应时间（质保期内）：即时响应（包括电话响应）；电话响应无法解决</w:t>
      </w:r>
      <w:r>
        <w:rPr>
          <w:rFonts w:hint="eastAsia" w:ascii="宋体" w:hAnsi="宋体" w:cs="宋体"/>
          <w:bCs/>
          <w:color w:val="000000" w:themeColor="text1"/>
          <w:sz w:val="24"/>
          <w:szCs w:val="24"/>
          <w:u w:val="single"/>
          <w:lang w:val="en-US" w:eastAsia="zh-CN"/>
        </w:rPr>
        <w:t xml:space="preserve">     </w:t>
      </w:r>
      <w:r>
        <w:rPr>
          <w:rFonts w:hint="eastAsia" w:ascii="宋体" w:hAnsi="宋体" w:eastAsia="宋体" w:cs="宋体"/>
          <w:bCs/>
          <w:color w:val="000000" w:themeColor="text1"/>
          <w:sz w:val="24"/>
          <w:szCs w:val="24"/>
        </w:rPr>
        <w:t>小时内到达现场。修复时间</w:t>
      </w:r>
      <w:r>
        <w:rPr>
          <w:rFonts w:hint="eastAsia" w:ascii="宋体" w:hAnsi="宋体" w:cs="宋体"/>
          <w:bCs/>
          <w:color w:val="000000" w:themeColor="text1"/>
          <w:sz w:val="24"/>
          <w:szCs w:val="24"/>
          <w:u w:val="single"/>
          <w:lang w:val="en-US" w:eastAsia="zh-CN"/>
        </w:rPr>
        <w:t xml:space="preserve">     </w:t>
      </w:r>
      <w:r>
        <w:rPr>
          <w:rFonts w:hint="eastAsia" w:ascii="宋体" w:hAnsi="宋体" w:eastAsia="宋体" w:cs="宋体"/>
          <w:bCs/>
          <w:color w:val="000000" w:themeColor="text1"/>
          <w:sz w:val="24"/>
          <w:szCs w:val="24"/>
        </w:rPr>
        <w:t>小时内解决；如在</w:t>
      </w:r>
      <w:r>
        <w:rPr>
          <w:rFonts w:hint="eastAsia" w:ascii="宋体" w:hAnsi="宋体" w:cs="宋体"/>
          <w:bCs/>
          <w:color w:val="000000" w:themeColor="text1"/>
          <w:sz w:val="24"/>
          <w:szCs w:val="24"/>
          <w:u w:val="single"/>
          <w:lang w:val="en-US" w:eastAsia="zh-CN"/>
        </w:rPr>
        <w:t xml:space="preserve">     </w:t>
      </w:r>
      <w:r>
        <w:rPr>
          <w:rFonts w:hint="eastAsia" w:ascii="宋体" w:hAnsi="宋体" w:eastAsia="宋体" w:cs="宋体"/>
          <w:bCs/>
          <w:color w:val="000000" w:themeColor="text1"/>
          <w:sz w:val="24"/>
          <w:szCs w:val="24"/>
        </w:rPr>
        <w:t>小时内无法修复，则提供部件冗余服务或采取应急措施，提供相同产品或不低于故障产品规格档次的备用产品供采购人使用，以确保货物的正常用。</w:t>
      </w:r>
    </w:p>
    <w:p w14:paraId="3F8C56ED">
      <w:pPr>
        <w:widowControl/>
        <w:adjustRightInd w:val="0"/>
        <w:snapToGrid w:val="0"/>
        <w:spacing w:line="360" w:lineRule="auto"/>
        <w:ind w:firstLine="470" w:firstLineChars="196"/>
        <w:jc w:val="left"/>
        <w:rPr>
          <w:rFonts w:hint="default" w:ascii="宋体" w:hAnsi="宋体" w:eastAsia="宋体" w:cs="宋体"/>
          <w:bCs/>
          <w:color w:val="000000" w:themeColor="text1"/>
          <w:sz w:val="24"/>
          <w:szCs w:val="24"/>
        </w:rPr>
      </w:pPr>
      <w:r>
        <w:rPr>
          <w:rFonts w:hint="eastAsia" w:ascii="宋体" w:hAnsi="宋体" w:eastAsia="宋体" w:cs="宋体"/>
          <w:bCs/>
          <w:color w:val="000000" w:themeColor="text1"/>
          <w:sz w:val="24"/>
          <w:szCs w:val="24"/>
          <w:lang w:val="en-US" w:eastAsia="zh-CN"/>
        </w:rPr>
        <w:t>3</w:t>
      </w:r>
      <w:r>
        <w:rPr>
          <w:rFonts w:hint="eastAsia" w:ascii="宋体" w:hAnsi="宋体" w:eastAsia="宋体" w:cs="宋体"/>
          <w:bCs/>
          <w:color w:val="000000" w:themeColor="text1"/>
          <w:sz w:val="24"/>
          <w:szCs w:val="24"/>
        </w:rPr>
        <w:t>、培训服务要求</w:t>
      </w:r>
    </w:p>
    <w:p w14:paraId="52100A81">
      <w:pPr>
        <w:widowControl/>
        <w:adjustRightInd w:val="0"/>
        <w:snapToGrid w:val="0"/>
        <w:spacing w:line="360" w:lineRule="auto"/>
        <w:ind w:firstLine="470" w:firstLineChars="196"/>
        <w:jc w:val="left"/>
        <w:rPr>
          <w:rFonts w:hint="default" w:ascii="宋体" w:hAnsi="宋体" w:eastAsia="宋体" w:cs="宋体"/>
          <w:bCs/>
          <w:color w:val="000000" w:themeColor="text1"/>
          <w:sz w:val="24"/>
          <w:szCs w:val="24"/>
        </w:rPr>
      </w:pPr>
      <w:r>
        <w:rPr>
          <w:rFonts w:hint="eastAsia" w:ascii="宋体" w:hAnsi="宋体" w:cs="宋体"/>
          <w:bCs/>
          <w:color w:val="000000" w:themeColor="text1"/>
          <w:sz w:val="24"/>
          <w:szCs w:val="24"/>
          <w:lang w:eastAsia="zh-CN"/>
        </w:rPr>
        <w:t>成交供应商</w:t>
      </w:r>
      <w:r>
        <w:rPr>
          <w:rFonts w:hint="eastAsia" w:ascii="宋体" w:hAnsi="宋体" w:eastAsia="宋体" w:cs="宋体"/>
          <w:bCs/>
          <w:color w:val="000000" w:themeColor="text1"/>
          <w:sz w:val="24"/>
          <w:szCs w:val="24"/>
        </w:rPr>
        <w:t>须负责开展培训服务，包括但不限于对设备管理人员等进行培训服务，并列出详细的培训计划，提供相关主要设备的操作流程及使用手册，维修手册等。</w:t>
      </w:r>
    </w:p>
    <w:p w14:paraId="17FBD714">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五、货物的包装及运输：</w:t>
      </w:r>
    </w:p>
    <w:p w14:paraId="110527E7">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1、乙方应在货物发运前对其进行满足于运输距离、防震、防锈和防破损装卸要求的包装，以保证货物安全运输到达甲方指定地点。途中发生包装物破损的情况，甲方有权拒收货物。</w:t>
      </w:r>
    </w:p>
    <w:p w14:paraId="33B51C06">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2、包装上注明货物品种及数量。</w:t>
      </w:r>
    </w:p>
    <w:p w14:paraId="761B5E87">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3、使用说明书、质量检验证明书、随配附件和工具以及清单与货物一起发送。</w:t>
      </w:r>
    </w:p>
    <w:p w14:paraId="1D23A480">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4、运输方式：乙方负责运输并承担运输、装卸、倒运及运保费等费用。</w:t>
      </w:r>
    </w:p>
    <w:p w14:paraId="7CB87E11">
      <w:pPr>
        <w:spacing w:line="360" w:lineRule="auto"/>
        <w:rPr>
          <w:rFonts w:hint="eastAsia" w:ascii="宋体" w:hAnsi="宋体" w:cs="宋体"/>
          <w:color w:val="000000" w:themeColor="text1"/>
          <w:kern w:val="0"/>
          <w:sz w:val="24"/>
          <w:szCs w:val="24"/>
        </w:rPr>
      </w:pPr>
      <w:r>
        <w:rPr>
          <w:rFonts w:hint="eastAsia" w:ascii="宋体" w:hAnsi="宋体" w:cs="宋体"/>
          <w:b/>
          <w:color w:val="000000" w:themeColor="text1"/>
          <w:kern w:val="0"/>
          <w:sz w:val="24"/>
          <w:szCs w:val="24"/>
        </w:rPr>
        <w:t>六、货物的安装、调试及验收：</w:t>
      </w:r>
    </w:p>
    <w:p w14:paraId="2CBA1A7F">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1、甲方对乙方所交货物依照国家有关技术标准和双方确认的技术标准进行现场验收。性能达到技术要求的，验收通过；验收不合格的，限期整改；整改仍达不到要求的，作退货处理。</w:t>
      </w:r>
    </w:p>
    <w:p w14:paraId="7520560D">
      <w:pPr>
        <w:widowControl/>
        <w:adjustRightInd w:val="0"/>
        <w:snapToGrid w:val="0"/>
        <w:spacing w:line="360" w:lineRule="auto"/>
        <w:ind w:firstLine="480" w:firstLineChars="200"/>
        <w:jc w:val="left"/>
        <w:rPr>
          <w:rFonts w:hint="eastAsia" w:ascii="宋体" w:hAnsi="宋体" w:cs="宋体"/>
          <w:color w:val="000000" w:themeColor="text1"/>
          <w:kern w:val="0"/>
          <w:sz w:val="24"/>
          <w:szCs w:val="24"/>
        </w:rPr>
      </w:pPr>
      <w:r>
        <w:rPr>
          <w:rFonts w:hint="eastAsia" w:ascii="宋体" w:hAnsi="宋体" w:cs="宋体"/>
          <w:color w:val="000000" w:themeColor="text1"/>
          <w:kern w:val="0"/>
          <w:sz w:val="24"/>
          <w:szCs w:val="24"/>
        </w:rPr>
        <w:t>2、如因货物的质量问题发生争议，由甲方属地技术质量监督部门进行质量鉴定；货物符合质量标准的，鉴定费由甲方承担；货物不符合质量标准的，鉴定费由乙方承担，同时乙方必须无条件退回全部货款，并向甲方支付合同总价款10%的赔偿金。</w:t>
      </w:r>
    </w:p>
    <w:p w14:paraId="6B5C07DF">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七、付款方式：</w:t>
      </w:r>
    </w:p>
    <w:p w14:paraId="21104E0F">
      <w:pPr>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供应商成交后凭成交通知书向采购人缴纳成交金额的5%作为履约保证金，验收合格支付货款后，5%履约保证金无质量问题一次性无息退还。</w:t>
      </w:r>
    </w:p>
    <w:p w14:paraId="0C2F2024">
      <w:pPr>
        <w:spacing w:line="360" w:lineRule="auto"/>
        <w:ind w:firstLine="480" w:firstLineChars="200"/>
        <w:rPr>
          <w:rFonts w:hint="eastAsia" w:ascii="宋体" w:hAnsi="宋体" w:cs="宋体"/>
          <w:b w:val="0"/>
          <w:bCs/>
          <w:color w:val="000000" w:themeColor="text1"/>
          <w:kern w:val="0"/>
          <w:sz w:val="24"/>
          <w:szCs w:val="24"/>
        </w:rPr>
      </w:pPr>
      <w:r>
        <w:rPr>
          <w:rFonts w:hint="eastAsia" w:ascii="宋体" w:hAnsi="宋体" w:cs="宋体"/>
          <w:b w:val="0"/>
          <w:bCs/>
          <w:color w:val="000000" w:themeColor="text1"/>
          <w:kern w:val="0"/>
          <w:sz w:val="24"/>
          <w:szCs w:val="24"/>
        </w:rPr>
        <w:t xml:space="preserve">产品安装调试经学校验收合格后 ，达到付款条件起 </w:t>
      </w:r>
      <w:r>
        <w:rPr>
          <w:rFonts w:hint="eastAsia" w:ascii="宋体" w:hAnsi="宋体" w:cs="宋体"/>
          <w:b w:val="0"/>
          <w:bCs/>
          <w:color w:val="000000" w:themeColor="text1"/>
          <w:kern w:val="0"/>
          <w:sz w:val="24"/>
          <w:szCs w:val="24"/>
          <w:lang w:eastAsia="zh-CN"/>
        </w:rPr>
        <w:t>30</w:t>
      </w:r>
      <w:r>
        <w:rPr>
          <w:rFonts w:hint="eastAsia" w:ascii="宋体" w:hAnsi="宋体" w:cs="宋体"/>
          <w:b w:val="0"/>
          <w:bCs/>
          <w:color w:val="000000" w:themeColor="text1"/>
          <w:kern w:val="0"/>
          <w:sz w:val="24"/>
          <w:szCs w:val="24"/>
        </w:rPr>
        <w:t>日内，支付合同总金额的</w:t>
      </w:r>
      <w:r>
        <w:rPr>
          <w:rFonts w:hint="eastAsia" w:ascii="宋体" w:hAnsi="宋体" w:cs="宋体"/>
          <w:b w:val="0"/>
          <w:bCs/>
          <w:color w:val="000000" w:themeColor="text1"/>
          <w:kern w:val="0"/>
          <w:sz w:val="24"/>
          <w:szCs w:val="24"/>
          <w:lang w:eastAsia="zh-CN"/>
        </w:rPr>
        <w:t>100.00</w:t>
      </w:r>
      <w:r>
        <w:rPr>
          <w:rFonts w:hint="eastAsia" w:ascii="宋体" w:hAnsi="宋体" w:cs="宋体"/>
          <w:b w:val="0"/>
          <w:bCs/>
          <w:color w:val="000000" w:themeColor="text1"/>
          <w:kern w:val="0"/>
          <w:sz w:val="24"/>
          <w:szCs w:val="24"/>
        </w:rPr>
        <w:t>%。</w:t>
      </w:r>
    </w:p>
    <w:p w14:paraId="77F36571">
      <w:pPr>
        <w:spacing w:line="360" w:lineRule="auto"/>
        <w:ind w:firstLine="482" w:firstLineChars="200"/>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八、违约责任：</w:t>
      </w:r>
    </w:p>
    <w:p w14:paraId="576C18E4">
      <w:pPr>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1、乙方逾期交货，每天应按合同总价的千分之一向甲方支付违约金。如乙方逾期三十天仍未交齐货物的，甲方有权终止合同，乙方须按合同总价的百分之十计算，向甲方支付违约赔偿金，并全额退还甲方已付给乙方的货款。</w:t>
      </w:r>
    </w:p>
    <w:p w14:paraId="6EA1BB65">
      <w:pPr>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2、甲方无正当理由拒收货物，应向乙方支付合同总价款10%的违约金。</w:t>
      </w:r>
    </w:p>
    <w:p w14:paraId="4C8D2763">
      <w:pPr>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3、乙方所交的货物品种、型号、规格、质量不符合合同约定、国家标准，所供货物达不到约定技术要求的，乙方必须无条件退回全部货款，并向甲方支付合同总价款10%的赔偿金。</w:t>
      </w:r>
    </w:p>
    <w:p w14:paraId="61315E24">
      <w:pPr>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4、因本合同而发生的争议或纠纷，甲乙双方应先协商解决，协商不成时可向甲方所在地的人民法院提起诉讼。</w:t>
      </w:r>
    </w:p>
    <w:p w14:paraId="2BB91EE7">
      <w:pPr>
        <w:spacing w:line="360" w:lineRule="auto"/>
        <w:rPr>
          <w:rFonts w:hint="eastAsia" w:ascii="宋体" w:hAnsi="宋体" w:cs="宋体"/>
          <w:b/>
          <w:color w:val="000000" w:themeColor="text1"/>
          <w:kern w:val="0"/>
          <w:sz w:val="24"/>
          <w:szCs w:val="24"/>
        </w:rPr>
      </w:pPr>
      <w:r>
        <w:rPr>
          <w:rFonts w:hint="eastAsia" w:ascii="宋体" w:hAnsi="宋体" w:cs="宋体"/>
          <w:b/>
          <w:color w:val="000000" w:themeColor="text1"/>
          <w:kern w:val="0"/>
          <w:sz w:val="24"/>
          <w:szCs w:val="24"/>
        </w:rPr>
        <w:t>九、争议解决方式：</w:t>
      </w:r>
    </w:p>
    <w:p w14:paraId="19C419C4">
      <w:pPr>
        <w:widowControl/>
        <w:adjustRightInd w:val="0"/>
        <w:snapToGrid w:val="0"/>
        <w:spacing w:line="360" w:lineRule="auto"/>
        <w:ind w:firstLine="480" w:firstLineChars="200"/>
        <w:jc w:val="left"/>
        <w:rPr>
          <w:rFonts w:hint="eastAsia" w:ascii="宋体" w:hAnsi="宋体" w:cs="宋体"/>
          <w:b/>
          <w:color w:val="000000" w:themeColor="text1"/>
          <w:kern w:val="0"/>
          <w:sz w:val="24"/>
          <w:szCs w:val="24"/>
        </w:rPr>
      </w:pPr>
      <w:r>
        <w:rPr>
          <w:rFonts w:hint="eastAsia" w:ascii="宋体" w:hAnsi="宋体" w:cs="宋体"/>
          <w:color w:val="000000" w:themeColor="text1"/>
          <w:kern w:val="0"/>
          <w:sz w:val="24"/>
          <w:szCs w:val="24"/>
        </w:rPr>
        <w:t>本合同在履行过程中，如发生争议，双方友好协商解决，如协商不成，双方同意向签约地法院起诉解决。</w:t>
      </w:r>
    </w:p>
    <w:p w14:paraId="35F07F59">
      <w:pPr>
        <w:spacing w:line="360" w:lineRule="auto"/>
        <w:jc w:val="left"/>
        <w:textAlignment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十、账户信息</w:t>
      </w:r>
    </w:p>
    <w:p w14:paraId="52409BC9">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单位名称：陕西国防工业职业技术学院</w:t>
      </w:r>
    </w:p>
    <w:p w14:paraId="3EB83CBA">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纳税人识别号：126100007379657044</w:t>
      </w:r>
    </w:p>
    <w:p w14:paraId="68781A52">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地址：陕西省西安市鄠邑区人民路8号</w:t>
      </w:r>
    </w:p>
    <w:p w14:paraId="18AE9FD4">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电话：029-81480018</w:t>
      </w:r>
    </w:p>
    <w:p w14:paraId="67DE8A67">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 xml:space="preserve">开 户 行：西安鄠邑农村商业银行余下支行 </w:t>
      </w:r>
    </w:p>
    <w:p w14:paraId="6FE06F93">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账 号：2701092201201000018150</w:t>
      </w:r>
    </w:p>
    <w:p w14:paraId="02A6FFC1">
      <w:pPr>
        <w:pStyle w:val="5"/>
        <w:spacing w:before="0" w:beforeAutospacing="0" w:after="0" w:afterAutospacing="0" w:line="360" w:lineRule="auto"/>
        <w:ind w:firstLine="360" w:firstLineChars="150"/>
        <w:rPr>
          <w:rFonts w:hint="eastAsia"/>
          <w:color w:val="000000" w:themeColor="text1"/>
          <w:kern w:val="2"/>
        </w:rPr>
      </w:pPr>
      <w:r>
        <w:rPr>
          <w:rFonts w:hint="eastAsia"/>
          <w:color w:val="000000" w:themeColor="text1"/>
          <w:kern w:val="2"/>
        </w:rPr>
        <w:t>2、乙方指定以下账户为唯一收款账户（与发票账户信息一致）：</w:t>
      </w:r>
    </w:p>
    <w:p w14:paraId="326583D7">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账户名称：</w:t>
      </w:r>
    </w:p>
    <w:p w14:paraId="162EA555">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开户银行：</w:t>
      </w:r>
    </w:p>
    <w:p w14:paraId="3D5D730C">
      <w:pPr>
        <w:pStyle w:val="5"/>
        <w:spacing w:before="0" w:beforeAutospacing="0" w:after="0" w:afterAutospacing="0" w:line="360" w:lineRule="auto"/>
        <w:ind w:left="851"/>
        <w:rPr>
          <w:rFonts w:hint="eastAsia"/>
          <w:color w:val="000000" w:themeColor="text1"/>
          <w:kern w:val="2"/>
        </w:rPr>
      </w:pPr>
      <w:r>
        <w:rPr>
          <w:rFonts w:hint="eastAsia"/>
          <w:color w:val="000000" w:themeColor="text1"/>
          <w:kern w:val="2"/>
        </w:rPr>
        <w:t>银行账号：</w:t>
      </w:r>
    </w:p>
    <w:p w14:paraId="7877CC4A">
      <w:pPr>
        <w:pStyle w:val="5"/>
        <w:spacing w:before="0" w:beforeAutospacing="0" w:after="0" w:afterAutospacing="0" w:line="360" w:lineRule="auto"/>
        <w:ind w:firstLine="480" w:firstLineChars="200"/>
        <w:rPr>
          <w:rFonts w:hint="eastAsia"/>
          <w:color w:val="000000" w:themeColor="text1"/>
          <w:kern w:val="2"/>
        </w:rPr>
      </w:pPr>
      <w:r>
        <w:rPr>
          <w:rFonts w:hint="eastAsia"/>
          <w:color w:val="000000" w:themeColor="text1"/>
          <w:kern w:val="2"/>
        </w:rPr>
        <w:t>甲方向上述账户汇出款项或向有关部门递交款项申请后，即视为已履行付款义务，在汇款过程中，因乙方账户的原因（包括但不限于账号被注销、被冻结等）导致其无法收取款项的，由乙方承担相应后果。如乙方存在违约行为，甲方有权直接在应付费用中扣除乙方应承担违约金或赔偿金等。</w:t>
      </w:r>
    </w:p>
    <w:p w14:paraId="2CA0D614">
      <w:pPr>
        <w:spacing w:line="360" w:lineRule="auto"/>
        <w:jc w:val="left"/>
        <w:textAlignment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十一、合同解除和终止</w:t>
      </w:r>
    </w:p>
    <w:p w14:paraId="1DFDAC25">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甲乙双方各自完成合同规定的责任和义务，合同自然终止。</w:t>
      </w:r>
    </w:p>
    <w:p w14:paraId="4F91F167">
      <w:pPr>
        <w:spacing w:line="360" w:lineRule="auto"/>
        <w:jc w:val="left"/>
        <w:textAlignment w:val="center"/>
        <w:rPr>
          <w:rFonts w:hint="eastAsia" w:ascii="宋体" w:hAnsi="宋体" w:cs="宋体"/>
          <w:b/>
          <w:color w:val="000000" w:themeColor="text1"/>
          <w:sz w:val="24"/>
          <w:szCs w:val="24"/>
        </w:rPr>
      </w:pPr>
      <w:r>
        <w:rPr>
          <w:rFonts w:hint="eastAsia" w:ascii="宋体" w:hAnsi="宋体" w:cs="宋体"/>
          <w:b/>
          <w:color w:val="000000" w:themeColor="text1"/>
          <w:sz w:val="24"/>
          <w:szCs w:val="24"/>
        </w:rPr>
        <w:t>十二、其它</w:t>
      </w:r>
    </w:p>
    <w:p w14:paraId="585A7755">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本合同乙方在任何情况下都不得全部或部分转让其应履行的合同义务，乙方不得将本合同分包给他人。</w:t>
      </w:r>
    </w:p>
    <w:p w14:paraId="0F179AE0">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在执行本合同的过程中，所有经双方签署确认的文件（包括会议纪要、补充合同、合同修改书、往来信函等）均为本合同的有效组成部分，其生效日期为双方签字盖章或确认之日期。</w:t>
      </w:r>
    </w:p>
    <w:p w14:paraId="7C3DF50B">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本合同一式捌份，甲方伍份，乙方两份，招标代理机构壹份。</w:t>
      </w:r>
    </w:p>
    <w:p w14:paraId="0E473F0F">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合同经双方授权代表签字、盖章后生效，生效日以签字日为准。</w:t>
      </w:r>
    </w:p>
    <w:p w14:paraId="25800A01">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本合同页眉页脚标有页码，加盖骑缝章，缺页之合同为无效合同。</w:t>
      </w:r>
    </w:p>
    <w:p w14:paraId="7EC24FBE">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一方在本合同履行过程中向对方发出或者提供的所有通知、文件、文书、资料等，均以本合同所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14:paraId="6CFDBBF0">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由于不能预见、不能避免和不能克服的客观的自然原因或社会原因，致使本合同不能履行或者不能完全履行时，遇到上述不可抗力事件的一方，应立即书面通知合同其他方，并应在不可抗力事件发生后十五天内，向合同其他方提供经不可抗力事件发生地区县级以上政府部门出具的证明合同不能履行或需要延期履行、部分履行的有效证明文件原件，由合同各方按事件对履行合同影响的程度协商决定是否解除合同、或者部分或全部免除履行合同的责任、或者延期履行合同。遭受不可抗力的一方未履行上述义务的，不能免除其违约责任。</w:t>
      </w:r>
    </w:p>
    <w:p w14:paraId="304D8DB8">
      <w:pPr>
        <w:snapToGrid w:val="0"/>
        <w:spacing w:line="360" w:lineRule="auto"/>
        <w:ind w:firstLine="480" w:firstLineChars="200"/>
        <w:rPr>
          <w:rFonts w:hint="eastAsia" w:ascii="宋体" w:hAnsi="宋体" w:cs="宋体"/>
          <w:color w:val="000000" w:themeColor="text1"/>
          <w:sz w:val="24"/>
          <w:szCs w:val="24"/>
        </w:rPr>
      </w:pPr>
      <w:r>
        <w:rPr>
          <w:rFonts w:hint="eastAsia" w:ascii="宋体" w:hAnsi="宋体" w:cs="宋体"/>
          <w:color w:val="000000" w:themeColor="text1"/>
          <w:sz w:val="24"/>
          <w:szCs w:val="24"/>
        </w:rPr>
        <w:t>未详尽之处双方协商解决。</w:t>
      </w:r>
    </w:p>
    <w:tbl>
      <w:tblPr>
        <w:tblStyle w:val="7"/>
        <w:tblW w:w="963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551"/>
        <w:gridCol w:w="5085"/>
      </w:tblGrid>
      <w:tr w14:paraId="093B62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vAlign w:val="center"/>
          </w:tcPr>
          <w:p w14:paraId="5BDDC558">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甲  方</w:t>
            </w:r>
          </w:p>
        </w:tc>
        <w:tc>
          <w:tcPr>
            <w:tcW w:w="5085" w:type="dxa"/>
            <w:vAlign w:val="center"/>
          </w:tcPr>
          <w:p w14:paraId="01CA8718">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乙  方</w:t>
            </w:r>
          </w:p>
        </w:tc>
      </w:tr>
      <w:tr w14:paraId="5B4B59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4" w:hRule="atLeast"/>
          <w:jc w:val="center"/>
        </w:trPr>
        <w:tc>
          <w:tcPr>
            <w:tcW w:w="4551" w:type="dxa"/>
            <w:vAlign w:val="center"/>
          </w:tcPr>
          <w:p w14:paraId="5C01EFA9">
            <w:pPr>
              <w:spacing w:line="360" w:lineRule="auto"/>
              <w:rPr>
                <w:rFonts w:hint="eastAsia" w:ascii="宋体" w:hAnsi="宋体" w:cs="宋体"/>
                <w:color w:val="000000" w:themeColor="text1"/>
                <w:sz w:val="24"/>
                <w:szCs w:val="24"/>
              </w:rPr>
            </w:pPr>
            <w:r>
              <w:rPr>
                <w:rFonts w:hint="eastAsia" w:ascii="宋体" w:hAnsi="宋体" w:cs="宋体"/>
                <w:b/>
                <w:color w:val="000000" w:themeColor="text1"/>
                <w:sz w:val="24"/>
                <w:szCs w:val="24"/>
              </w:rPr>
              <w:t>陕西国防工业职业技术学院</w:t>
            </w:r>
            <w:r>
              <w:rPr>
                <w:rFonts w:hint="eastAsia" w:ascii="宋体" w:hAnsi="宋体" w:cs="宋体"/>
                <w:color w:val="000000" w:themeColor="text1"/>
                <w:sz w:val="24"/>
                <w:szCs w:val="24"/>
              </w:rPr>
              <w:t>（盖章）</w:t>
            </w:r>
          </w:p>
        </w:tc>
        <w:tc>
          <w:tcPr>
            <w:tcW w:w="5085" w:type="dxa"/>
            <w:vAlign w:val="center"/>
          </w:tcPr>
          <w:p w14:paraId="46D97C3D">
            <w:pPr>
              <w:spacing w:line="360" w:lineRule="auto"/>
              <w:jc w:val="right"/>
              <w:rPr>
                <w:rFonts w:hint="eastAsia" w:ascii="宋体" w:hAnsi="宋体" w:cs="宋体"/>
                <w:color w:val="000000" w:themeColor="text1"/>
                <w:sz w:val="24"/>
                <w:szCs w:val="24"/>
              </w:rPr>
            </w:pPr>
            <w:r>
              <w:rPr>
                <w:rFonts w:hint="eastAsia" w:ascii="宋体" w:hAnsi="宋体" w:cs="宋体"/>
                <w:color w:val="000000" w:themeColor="text1"/>
                <w:sz w:val="24"/>
                <w:szCs w:val="24"/>
              </w:rPr>
              <w:t>（盖章）</w:t>
            </w:r>
          </w:p>
        </w:tc>
      </w:tr>
      <w:tr w14:paraId="33FAEE7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vAlign w:val="center"/>
          </w:tcPr>
          <w:p w14:paraId="3E9BEB00">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地址：陕西省西安市鄠邑区人民路8号</w:t>
            </w:r>
          </w:p>
        </w:tc>
        <w:tc>
          <w:tcPr>
            <w:tcW w:w="5085" w:type="dxa"/>
            <w:vAlign w:val="center"/>
          </w:tcPr>
          <w:p w14:paraId="462059FC">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地址：</w:t>
            </w:r>
          </w:p>
        </w:tc>
      </w:tr>
      <w:tr w14:paraId="4E21770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vAlign w:val="center"/>
          </w:tcPr>
          <w:p w14:paraId="3A133F60">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邮编：710300</w:t>
            </w:r>
          </w:p>
        </w:tc>
        <w:tc>
          <w:tcPr>
            <w:tcW w:w="5085" w:type="dxa"/>
            <w:vAlign w:val="center"/>
          </w:tcPr>
          <w:p w14:paraId="7C98526C">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邮编：</w:t>
            </w:r>
          </w:p>
        </w:tc>
      </w:tr>
      <w:tr w14:paraId="24DD30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bottom w:val="single" w:color="auto" w:sz="4" w:space="0"/>
            </w:tcBorders>
            <w:vAlign w:val="center"/>
          </w:tcPr>
          <w:p w14:paraId="45B84082">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法定代表人：刘敏涵</w:t>
            </w:r>
          </w:p>
        </w:tc>
        <w:tc>
          <w:tcPr>
            <w:tcW w:w="5085" w:type="dxa"/>
            <w:vAlign w:val="center"/>
          </w:tcPr>
          <w:p w14:paraId="54E00631">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法定代表人：</w:t>
            </w:r>
          </w:p>
        </w:tc>
      </w:tr>
      <w:tr w14:paraId="7210A1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tcBorders>
            <w:vAlign w:val="center"/>
          </w:tcPr>
          <w:p w14:paraId="1E039526">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被授权代表：（签字）</w:t>
            </w:r>
          </w:p>
        </w:tc>
        <w:tc>
          <w:tcPr>
            <w:tcW w:w="5085" w:type="dxa"/>
            <w:vAlign w:val="center"/>
          </w:tcPr>
          <w:p w14:paraId="6BCA9B94">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被授权代表：（签字）</w:t>
            </w:r>
          </w:p>
        </w:tc>
      </w:tr>
      <w:tr w14:paraId="55CAB7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vAlign w:val="center"/>
          </w:tcPr>
          <w:p w14:paraId="676DBA29">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电话：029-81480108</w:t>
            </w:r>
          </w:p>
        </w:tc>
        <w:tc>
          <w:tcPr>
            <w:tcW w:w="5085" w:type="dxa"/>
            <w:vAlign w:val="center"/>
          </w:tcPr>
          <w:p w14:paraId="5E3309DE">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电话：</w:t>
            </w:r>
          </w:p>
        </w:tc>
      </w:tr>
      <w:tr w14:paraId="2C5BDB4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bottom w:val="single" w:color="auto" w:sz="4" w:space="0"/>
            </w:tcBorders>
            <w:vAlign w:val="center"/>
          </w:tcPr>
          <w:p w14:paraId="0FCA96AC">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传真：029-81480005</w:t>
            </w:r>
          </w:p>
        </w:tc>
        <w:tc>
          <w:tcPr>
            <w:tcW w:w="5085" w:type="dxa"/>
            <w:vAlign w:val="center"/>
          </w:tcPr>
          <w:p w14:paraId="38B55AD5">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传真：</w:t>
            </w:r>
          </w:p>
        </w:tc>
      </w:tr>
      <w:tr w14:paraId="1C1E61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bottom w:val="single" w:color="auto" w:sz="4" w:space="0"/>
            </w:tcBorders>
            <w:vAlign w:val="center"/>
          </w:tcPr>
          <w:p w14:paraId="2EB1B6EF">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开户银行：西安鄠邑农村商业银行余下支行</w:t>
            </w:r>
          </w:p>
        </w:tc>
        <w:tc>
          <w:tcPr>
            <w:tcW w:w="5085" w:type="dxa"/>
            <w:vAlign w:val="center"/>
          </w:tcPr>
          <w:p w14:paraId="1BEB667B">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开户银行：</w:t>
            </w:r>
          </w:p>
        </w:tc>
      </w:tr>
      <w:tr w14:paraId="201CFF5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bottom w:val="single" w:color="auto" w:sz="4" w:space="0"/>
            </w:tcBorders>
            <w:vAlign w:val="center"/>
          </w:tcPr>
          <w:p w14:paraId="0F32A289">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账户名称：陕西国防工业职业技术学院</w:t>
            </w:r>
          </w:p>
        </w:tc>
        <w:tc>
          <w:tcPr>
            <w:tcW w:w="5085" w:type="dxa"/>
            <w:tcBorders>
              <w:bottom w:val="single" w:color="auto" w:sz="4" w:space="0"/>
            </w:tcBorders>
            <w:vAlign w:val="center"/>
          </w:tcPr>
          <w:p w14:paraId="793FD241">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账户名称：</w:t>
            </w:r>
          </w:p>
        </w:tc>
      </w:tr>
      <w:tr w14:paraId="581108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tcBorders>
            <w:vAlign w:val="center"/>
          </w:tcPr>
          <w:p w14:paraId="4F206E09">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账号:  2701092201201000018150</w:t>
            </w:r>
          </w:p>
        </w:tc>
        <w:tc>
          <w:tcPr>
            <w:tcW w:w="5085" w:type="dxa"/>
            <w:tcBorders>
              <w:top w:val="single" w:color="auto" w:sz="4" w:space="0"/>
            </w:tcBorders>
            <w:vAlign w:val="center"/>
          </w:tcPr>
          <w:p w14:paraId="504CFF2A">
            <w:pPr>
              <w:spacing w:line="360" w:lineRule="auto"/>
              <w:rPr>
                <w:rFonts w:hint="eastAsia" w:ascii="宋体" w:hAnsi="宋体" w:cs="宋体"/>
                <w:color w:val="000000" w:themeColor="text1"/>
                <w:sz w:val="24"/>
                <w:szCs w:val="24"/>
              </w:rPr>
            </w:pPr>
            <w:r>
              <w:rPr>
                <w:rFonts w:hint="eastAsia" w:ascii="宋体" w:hAnsi="宋体" w:cs="宋体"/>
                <w:color w:val="000000" w:themeColor="text1"/>
                <w:sz w:val="24"/>
                <w:szCs w:val="24"/>
              </w:rPr>
              <w:t>账号:</w:t>
            </w:r>
          </w:p>
        </w:tc>
      </w:tr>
    </w:tbl>
    <w:p w14:paraId="50E033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66195"/>
    <w:rsid w:val="00666195"/>
    <w:rsid w:val="007F2EE6"/>
    <w:rsid w:val="00E5505C"/>
    <w:rsid w:val="21962280"/>
    <w:rsid w:val="2E46110A"/>
    <w:rsid w:val="54234DA9"/>
    <w:rsid w:val="5D332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semiHidden/>
    <w:unhideWhenUsed/>
    <w:qFormat/>
    <w:uiPriority w:val="99"/>
    <w:pPr>
      <w:spacing w:after="120"/>
      <w:ind w:left="420" w:leftChars="200"/>
    </w:pPr>
  </w:style>
  <w:style w:type="paragraph" w:styleId="3">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nhideWhenUsed/>
    <w:qFormat/>
    <w:uiPriority w:val="99"/>
    <w:pPr>
      <w:widowControl/>
      <w:spacing w:before="100" w:beforeAutospacing="1" w:after="100" w:afterAutospacing="1"/>
    </w:pPr>
    <w:rPr>
      <w:rFonts w:ascii="宋体" w:hAnsi="宋体" w:cs="宋体"/>
      <w:kern w:val="0"/>
      <w:sz w:val="24"/>
      <w:szCs w:val="24"/>
    </w:rPr>
  </w:style>
  <w:style w:type="paragraph" w:styleId="6">
    <w:name w:val="Body Text First Indent 2"/>
    <w:basedOn w:val="2"/>
    <w:link w:val="13"/>
    <w:qFormat/>
    <w:uiPriority w:val="99"/>
    <w:pPr>
      <w:spacing w:after="0" w:line="360" w:lineRule="auto"/>
      <w:ind w:left="0" w:leftChars="0" w:firstLine="570"/>
    </w:pPr>
    <w:rPr>
      <w:rFonts w:ascii="Times New Roman" w:hAnsi="Times New Roman"/>
    </w:rPr>
  </w:style>
  <w:style w:type="character" w:styleId="9">
    <w:name w:val="page number"/>
    <w:qFormat/>
    <w:uiPriority w:val="0"/>
    <w:rPr>
      <w:rFonts w:ascii="Times New Roman" w:hAnsi="Times New Roman" w:eastAsia="宋体" w:cs="Times New Roman"/>
    </w:rPr>
  </w:style>
  <w:style w:type="character" w:customStyle="1" w:styleId="10">
    <w:name w:val="页脚 Char"/>
    <w:basedOn w:val="8"/>
    <w:link w:val="3"/>
    <w:semiHidden/>
    <w:qFormat/>
    <w:uiPriority w:val="99"/>
    <w:rPr>
      <w:sz w:val="18"/>
      <w:szCs w:val="18"/>
    </w:rPr>
  </w:style>
  <w:style w:type="character" w:customStyle="1" w:styleId="11">
    <w:name w:val="页眉 Char"/>
    <w:basedOn w:val="8"/>
    <w:link w:val="4"/>
    <w:semiHidden/>
    <w:qFormat/>
    <w:uiPriority w:val="99"/>
    <w:rPr>
      <w:sz w:val="18"/>
      <w:szCs w:val="18"/>
    </w:rPr>
  </w:style>
  <w:style w:type="character" w:customStyle="1" w:styleId="12">
    <w:name w:val="正文文本缩进 Char"/>
    <w:basedOn w:val="8"/>
    <w:link w:val="2"/>
    <w:semiHidden/>
    <w:qFormat/>
    <w:uiPriority w:val="99"/>
    <w:rPr>
      <w:rFonts w:ascii="Calibri" w:hAnsi="Calibri" w:eastAsia="宋体" w:cs="Times New Roman"/>
    </w:rPr>
  </w:style>
  <w:style w:type="character" w:customStyle="1" w:styleId="13">
    <w:name w:val="正文首行缩进 2 Char"/>
    <w:basedOn w:val="12"/>
    <w:link w:val="6"/>
    <w:qFormat/>
    <w:uiPriority w:val="99"/>
    <w:rPr>
      <w:rFonts w:ascii="Times New Roman" w:hAnsi="Times New Roman"/>
    </w:rPr>
  </w:style>
  <w:style w:type="paragraph" w:customStyle="1" w:styleId="14">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2695</Words>
  <Characters>2828</Characters>
  <Lines>20</Lines>
  <Paragraphs>5</Paragraphs>
  <TotalTime>0</TotalTime>
  <ScaleCrop>false</ScaleCrop>
  <LinksUpToDate>false</LinksUpToDate>
  <CharactersWithSpaces>2979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2023-12-12T07:30:00Z</dcterms:created>
  <dc:creator>Administrator</dc:creator>
  <cp:lastModifiedBy>中经招标</cp:lastModifiedBy>
  <dcterms:modified xsi:type="dcterms:W3CDTF">2025-07-15T08:43:58Z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eyJoZGlkIjoiOWJlNDY3NTNiN2U3N2MxMDhiMGU5MzkyYmQzNThmMzYifQ==</vt:lpwstr>
  </property>
  <property fmtid="{D5CDD505-2E9C-101B-9397-08002B2CF9AE}" pid="3" name="KSOProductBuildVer">
    <vt:lpwstr>2052-12.1.0.21915</vt:lpwstr>
  </property>
  <property fmtid="{D5CDD505-2E9C-101B-9397-08002B2CF9AE}" pid="4" name="ICV">
    <vt:lpwstr>621804E321B24F6A8D8AB526A67B352F_12</vt:lpwstr>
  </property>
</Properties>
</file>