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14BF3C29">
      <w:pPr>
        <w:rPr>
          <w:rFonts w:hint="eastAsia"/>
          <w:b/>
          <w:bCs/>
        </w:rPr>
      </w:pPr>
      <w:r>
        <w:rPr>
          <w:rFonts w:hint="eastAsia" w:ascii="仿宋" w:hAnsi="仿宋" w:cs="仿宋"/>
          <w:b/>
          <w:bCs/>
          <w:sz w:val="24"/>
          <w:szCs w:val="24"/>
          <w:lang w:eastAsia="zh-CN"/>
        </w:rPr>
        <w:t>（</w:t>
      </w:r>
      <w:r>
        <w:rPr>
          <w:rFonts w:hint="eastAsia" w:ascii="仿宋" w:hAnsi="仿宋" w:eastAsia="仿宋" w:cs="仿宋"/>
          <w:b/>
          <w:bCs/>
          <w:sz w:val="24"/>
          <w:szCs w:val="24"/>
        </w:rPr>
        <w:t>一）满足《中华人民共和国政府采购法》第二十二条规定</w:t>
      </w:r>
    </w:p>
    <w:p w14:paraId="53FFBC98">
      <w:pPr>
        <w:numPr>
          <w:ilvl w:val="0"/>
          <w:numId w:val="0"/>
        </w:numPr>
        <w:spacing w:line="360" w:lineRule="auto"/>
        <w:ind w:leftChars="0"/>
        <w:rPr>
          <w:rFonts w:hint="eastAsia" w:ascii="仿宋" w:hAnsi="仿宋" w:eastAsia="仿宋" w:cs="仿宋"/>
        </w:rPr>
      </w:pPr>
      <w:r>
        <w:rPr>
          <w:rFonts w:hint="eastAsia" w:ascii="仿宋" w:hAnsi="仿宋" w:eastAsia="仿宋" w:cs="仿宋"/>
        </w:rPr>
        <w:t>1、具有独立承担民事责任的能力（企业法人应提供统一社会信用代码的营业执照；事业法人应提供事业单位法人证、组织机构代码证等证明文件；其他组织应提供合法证明文件；自然人提供身份证明文件）；</w:t>
      </w:r>
    </w:p>
    <w:p w14:paraId="113FAD5D">
      <w:pPr>
        <w:numPr>
          <w:ilvl w:val="0"/>
          <w:numId w:val="0"/>
        </w:numPr>
        <w:spacing w:line="360" w:lineRule="auto"/>
        <w:ind w:leftChars="0"/>
        <w:rPr>
          <w:rFonts w:hint="eastAsia" w:ascii="仿宋" w:hAnsi="仿宋" w:eastAsia="仿宋" w:cs="仿宋"/>
        </w:rPr>
      </w:pPr>
      <w:r>
        <w:rPr>
          <w:rFonts w:hint="eastAsia" w:ascii="仿宋" w:hAnsi="仿宋" w:eastAsia="仿宋" w:cs="仿宋"/>
        </w:rPr>
        <w:t>2、具有良好的商业信誉和健全的财务会计制度，提供2024年度经审计完整的财务审计报告，或其开标前6个月内银行出具的资信证明，或财政部门认可的政府采购专业担保机构出具的投标担保函；</w:t>
      </w:r>
    </w:p>
    <w:p w14:paraId="1530AB6E">
      <w:pPr>
        <w:numPr>
          <w:ilvl w:val="0"/>
          <w:numId w:val="0"/>
        </w:numPr>
        <w:spacing w:line="360" w:lineRule="auto"/>
        <w:ind w:leftChars="0"/>
        <w:rPr>
          <w:rFonts w:hint="eastAsia" w:ascii="仿宋" w:hAnsi="仿宋" w:eastAsia="仿宋" w:cs="仿宋"/>
        </w:rPr>
      </w:pPr>
      <w:r>
        <w:rPr>
          <w:rFonts w:hint="eastAsia" w:ascii="仿宋" w:hAnsi="仿宋" w:eastAsia="仿宋" w:cs="仿宋"/>
        </w:rPr>
        <w:t>3、具有履行合同所必需的设备和专业技术能力的书面声明（格式详见附件）；</w:t>
      </w:r>
    </w:p>
    <w:p w14:paraId="22CD55B8">
      <w:pPr>
        <w:numPr>
          <w:ilvl w:val="0"/>
          <w:numId w:val="0"/>
        </w:numPr>
        <w:spacing w:line="360" w:lineRule="auto"/>
        <w:ind w:leftChars="0"/>
        <w:rPr>
          <w:rFonts w:hint="eastAsia" w:ascii="仿宋" w:hAnsi="仿宋" w:eastAsia="仿宋" w:cs="仿宋"/>
        </w:rPr>
      </w:pPr>
      <w:r>
        <w:rPr>
          <w:rFonts w:hint="eastAsia" w:ascii="仿宋" w:hAnsi="仿宋" w:eastAsia="仿宋" w:cs="仿宋"/>
        </w:rPr>
        <w:t>4、有依法缴纳税收和社会保障资金的良好记录</w:t>
      </w:r>
      <w:r>
        <w:rPr>
          <w:rFonts w:hint="eastAsia" w:ascii="仿宋" w:hAnsi="仿宋" w:eastAsia="仿宋" w:cs="仿宋"/>
          <w:lang w:val="en-US" w:eastAsia="zh-CN"/>
        </w:rPr>
        <w:t>（提供开标前 12 个月内任一月份的社保和缴纳税收的证明，税种须包含增值税或企业所得税，依法不需要缴纳社会保障资金、免税或无须缴纳税款的供应商，应提供相关证明文件)</w:t>
      </w:r>
      <w:r>
        <w:rPr>
          <w:rFonts w:hint="eastAsia" w:ascii="仿宋" w:hAnsi="仿宋" w:eastAsia="仿宋" w:cs="仿宋"/>
        </w:rPr>
        <w:t>；</w:t>
      </w:r>
    </w:p>
    <w:p w14:paraId="057A5E95">
      <w:pPr>
        <w:numPr>
          <w:ilvl w:val="0"/>
          <w:numId w:val="0"/>
        </w:numPr>
        <w:spacing w:line="360" w:lineRule="auto"/>
        <w:ind w:leftChars="0"/>
        <w:rPr>
          <w:rFonts w:hint="eastAsia" w:ascii="仿宋" w:hAnsi="仿宋" w:eastAsia="仿宋" w:cs="仿宋"/>
        </w:rPr>
      </w:pPr>
      <w:r>
        <w:rPr>
          <w:rFonts w:hint="eastAsia" w:ascii="仿宋" w:hAnsi="仿宋" w:eastAsia="仿宋" w:cs="仿宋"/>
        </w:rPr>
        <w:t>5、参加政府采购活动前 3 年内在经营活动中没有重大违法记录的书面声明（格式详见附件）。</w:t>
      </w:r>
    </w:p>
    <w:p w14:paraId="52FAFE3D">
      <w:pPr>
        <w:pStyle w:val="15"/>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（二）落实政府采购政策需满足的资格要求：</w:t>
      </w:r>
    </w:p>
    <w:p w14:paraId="4348E7EB">
      <w:pPr>
        <w:pStyle w:val="15"/>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属于专门面向中小企业采购。</w:t>
      </w:r>
    </w:p>
    <w:p w14:paraId="065CB062">
      <w:pPr>
        <w:pStyle w:val="15"/>
        <w:spacing w:line="360" w:lineRule="auto"/>
        <w:rPr>
          <w:rFonts w:hint="eastAsia" w:ascii="仿宋" w:hAnsi="仿宋" w:eastAsia="仿宋" w:cs="仿宋"/>
          <w:b/>
          <w:bCs/>
          <w:sz w:val="24"/>
          <w:szCs w:val="24"/>
        </w:rPr>
      </w:pPr>
      <w:r>
        <w:rPr>
          <w:rFonts w:hint="eastAsia" w:ascii="仿宋" w:hAnsi="仿宋" w:eastAsia="仿宋" w:cs="仿宋"/>
          <w:b/>
          <w:bCs/>
          <w:sz w:val="24"/>
          <w:szCs w:val="24"/>
        </w:rPr>
        <w:t>（三）本项目的特定资格要求：</w:t>
      </w:r>
    </w:p>
    <w:p w14:paraId="1123E9D7">
      <w:pPr>
        <w:pStyle w:val="15"/>
        <w:spacing w:line="360" w:lineRule="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1、供应商要求：具备建筑行政主管部门颁发的有效的消防设施工程专业承包二级以上（含二级）资质证明，并具备合格有效的安全生产许可证</w:t>
      </w:r>
      <w:r>
        <w:rPr>
          <w:rFonts w:hint="eastAsia" w:ascii="仿宋" w:hAnsi="仿宋" w:eastAsia="仿宋" w:cs="仿宋"/>
          <w:b w:val="0"/>
          <w:bCs w:val="0"/>
          <w:sz w:val="24"/>
          <w:szCs w:val="24"/>
          <w:highlight w:val="none"/>
          <w:lang w:eastAsia="zh-CN"/>
        </w:rPr>
        <w:t>，并在“陕西省住房和城乡建设厅”官方网站可查询（提供网页截图）</w:t>
      </w:r>
      <w:r>
        <w:rPr>
          <w:rFonts w:hint="eastAsia" w:ascii="仿宋" w:hAnsi="仿宋" w:eastAsia="仿宋" w:cs="仿宋"/>
          <w:b w:val="0"/>
          <w:bCs w:val="0"/>
          <w:sz w:val="24"/>
          <w:szCs w:val="24"/>
          <w:highlight w:val="none"/>
        </w:rPr>
        <w:t>。</w:t>
      </w:r>
    </w:p>
    <w:p w14:paraId="7C69BCAE">
      <w:pPr>
        <w:pStyle w:val="2"/>
        <w:numPr>
          <w:ilvl w:val="0"/>
          <w:numId w:val="0"/>
        </w:numPr>
        <w:spacing w:line="360" w:lineRule="auto"/>
        <w:rPr>
          <w:rFonts w:hint="default"/>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rPr>
        <w:t>拟派项目</w:t>
      </w:r>
      <w:r>
        <w:rPr>
          <w:rFonts w:hint="eastAsia" w:ascii="仿宋" w:hAnsi="仿宋" w:eastAsia="仿宋" w:cs="仿宋"/>
          <w:b w:val="0"/>
          <w:bCs w:val="0"/>
          <w:sz w:val="24"/>
          <w:szCs w:val="24"/>
          <w:highlight w:val="none"/>
          <w:lang w:val="en-US" w:eastAsia="zh-CN"/>
        </w:rPr>
        <w:t>经理</w:t>
      </w:r>
      <w:r>
        <w:rPr>
          <w:rFonts w:hint="eastAsia" w:ascii="仿宋" w:hAnsi="仿宋" w:eastAsia="仿宋" w:cs="仿宋"/>
          <w:b w:val="0"/>
          <w:bCs w:val="0"/>
          <w:sz w:val="24"/>
          <w:szCs w:val="24"/>
          <w:highlight w:val="none"/>
        </w:rPr>
        <w:t>要求：项目经理</w:t>
      </w:r>
      <w:r>
        <w:rPr>
          <w:rFonts w:hint="eastAsia" w:ascii="仿宋" w:hAnsi="仿宋" w:eastAsia="仿宋" w:cs="仿宋"/>
          <w:b w:val="0"/>
          <w:bCs w:val="0"/>
          <w:sz w:val="24"/>
          <w:szCs w:val="24"/>
          <w:highlight w:val="none"/>
          <w:lang w:val="en-US" w:eastAsia="zh-CN"/>
        </w:rPr>
        <w:t>具备</w:t>
      </w:r>
      <w:r>
        <w:rPr>
          <w:rFonts w:hint="eastAsia" w:ascii="仿宋" w:hAnsi="仿宋" w:eastAsia="仿宋" w:cs="仿宋"/>
          <w:b w:val="0"/>
          <w:bCs w:val="0"/>
          <w:sz w:val="24"/>
          <w:szCs w:val="24"/>
          <w:highlight w:val="none"/>
        </w:rPr>
        <w:t>机电工程专业</w:t>
      </w:r>
      <w:r>
        <w:rPr>
          <w:rFonts w:hint="eastAsia" w:ascii="仿宋" w:hAnsi="仿宋" w:eastAsia="仿宋" w:cs="仿宋"/>
          <w:b w:val="0"/>
          <w:bCs w:val="0"/>
          <w:sz w:val="24"/>
          <w:szCs w:val="24"/>
          <w:highlight w:val="none"/>
          <w:lang w:val="en-US" w:eastAsia="zh-CN"/>
        </w:rPr>
        <w:t>二</w:t>
      </w:r>
      <w:r>
        <w:rPr>
          <w:rFonts w:hint="eastAsia" w:ascii="仿宋" w:hAnsi="仿宋" w:eastAsia="仿宋" w:cs="仿宋"/>
          <w:b w:val="0"/>
          <w:bCs w:val="0"/>
          <w:sz w:val="24"/>
          <w:szCs w:val="24"/>
          <w:highlight w:val="none"/>
        </w:rPr>
        <w:t>级以上（含</w:t>
      </w:r>
      <w:r>
        <w:rPr>
          <w:rFonts w:hint="eastAsia" w:ascii="仿宋" w:hAnsi="仿宋" w:eastAsia="仿宋" w:cs="仿宋"/>
          <w:b w:val="0"/>
          <w:bCs w:val="0"/>
          <w:sz w:val="24"/>
          <w:szCs w:val="24"/>
          <w:highlight w:val="none"/>
          <w:lang w:val="en-US" w:eastAsia="zh-CN"/>
        </w:rPr>
        <w:t>二</w:t>
      </w:r>
      <w:r>
        <w:rPr>
          <w:rFonts w:hint="eastAsia" w:ascii="仿宋" w:hAnsi="仿宋" w:eastAsia="仿宋" w:cs="仿宋"/>
          <w:b w:val="0"/>
          <w:bCs w:val="0"/>
          <w:sz w:val="24"/>
          <w:szCs w:val="24"/>
          <w:highlight w:val="none"/>
        </w:rPr>
        <w:t>级）建造师证书</w:t>
      </w:r>
      <w:r>
        <w:rPr>
          <w:rFonts w:hint="eastAsia" w:ascii="仿宋" w:hAnsi="仿宋" w:eastAsia="仿宋" w:cs="仿宋"/>
          <w:b w:val="0"/>
          <w:bCs w:val="0"/>
          <w:sz w:val="24"/>
          <w:szCs w:val="24"/>
          <w:highlight w:val="none"/>
          <w:lang w:val="en-US" w:eastAsia="zh-CN"/>
        </w:rPr>
        <w:t>证，</w:t>
      </w:r>
      <w:r>
        <w:rPr>
          <w:rFonts w:hint="eastAsia" w:ascii="仿宋" w:hAnsi="仿宋" w:eastAsia="仿宋" w:cs="仿宋"/>
          <w:b w:val="0"/>
          <w:bCs w:val="0"/>
          <w:sz w:val="24"/>
          <w:szCs w:val="24"/>
          <w:highlight w:val="none"/>
        </w:rPr>
        <w:t>具备有效的安全生产考核合格</w:t>
      </w:r>
      <w:r>
        <w:rPr>
          <w:rFonts w:hint="eastAsia" w:ascii="仿宋" w:hAnsi="仿宋" w:eastAsia="仿宋" w:cs="仿宋"/>
          <w:b w:val="0"/>
          <w:bCs w:val="0"/>
          <w:strike w:val="0"/>
          <w:dstrike w:val="0"/>
          <w:sz w:val="24"/>
          <w:szCs w:val="24"/>
          <w:highlight w:val="none"/>
        </w:rPr>
        <w:t>证</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lang w:val="en-US" w:eastAsia="zh-CN"/>
        </w:rPr>
        <w:t>在本单位注册且无在建工程（承诺书）</w:t>
      </w:r>
      <w:r>
        <w:rPr>
          <w:rFonts w:hint="eastAsia" w:ascii="仿宋" w:hAnsi="仿宋" w:eastAsia="仿宋" w:cs="仿宋"/>
          <w:sz w:val="24"/>
          <w:szCs w:val="24"/>
          <w:highlight w:val="none"/>
          <w:lang w:eastAsia="zh-CN"/>
        </w:rPr>
        <w:t>。</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69199F4F">
      <w:pPr>
        <w:spacing w:line="360" w:lineRule="auto"/>
        <w:ind w:firstLine="480" w:firstLineChars="200"/>
        <w:rPr>
          <w:rFonts w:hint="eastAsia" w:ascii="仿宋" w:hAnsi="仿宋" w:eastAsia="仿宋" w:cs="仿宋"/>
          <w:color w:val="36363D"/>
          <w:sz w:val="24"/>
          <w:szCs w:val="24"/>
        </w:rPr>
      </w:pPr>
    </w:p>
    <w:p w14:paraId="4DEC2437">
      <w:pPr>
        <w:spacing w:line="360" w:lineRule="auto"/>
        <w:ind w:firstLine="480" w:firstLineChars="200"/>
        <w:rPr>
          <w:rFonts w:hint="eastAsia" w:ascii="仿宋" w:hAnsi="仿宋" w:eastAsia="仿宋" w:cs="仿宋"/>
          <w:color w:val="36363D"/>
          <w:sz w:val="24"/>
          <w:szCs w:val="24"/>
        </w:rPr>
      </w:pP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1200"/>
      <w:bookmarkStart w:id="1" w:name="_Toc9245"/>
      <w:bookmarkStart w:id="2" w:name="_Toc27886"/>
      <w:bookmarkStart w:id="3" w:name="_Toc7604"/>
      <w:bookmarkStart w:id="4" w:name="_Toc6704"/>
      <w:bookmarkStart w:id="5" w:name="_Toc5759"/>
      <w:bookmarkStart w:id="6" w:name="_Toc25776"/>
      <w:r>
        <w:rPr>
          <w:rFonts w:hint="eastAsia" w:ascii="仿宋" w:hAnsi="仿宋" w:eastAsia="仿宋" w:cs="仿宋"/>
          <w:color w:val="0D0D0D"/>
          <w:kern w:val="1"/>
          <w:sz w:val="24"/>
          <w:szCs w:val="24"/>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6501"/>
      <w:bookmarkStart w:id="8" w:name="_Toc9655"/>
      <w:bookmarkStart w:id="9" w:name="_Toc20620"/>
      <w:bookmarkStart w:id="10" w:name="_Toc21467"/>
      <w:bookmarkStart w:id="11" w:name="_Toc29152"/>
      <w:bookmarkStart w:id="12" w:name="_Toc249"/>
      <w:bookmarkStart w:id="13" w:name="_Toc5390"/>
      <w:bookmarkStart w:id="14" w:name="_Toc10566"/>
      <w:bookmarkStart w:id="15" w:name="_Toc27860"/>
      <w:bookmarkStart w:id="16" w:name="_Toc959"/>
      <w:bookmarkStart w:id="17" w:name="_Toc14555"/>
      <w:bookmarkStart w:id="18" w:name="_Toc295"/>
      <w:bookmarkStart w:id="19" w:name="_Toc7020"/>
      <w:r>
        <w:rPr>
          <w:rFonts w:hint="eastAsia" w:ascii="仿宋" w:hAnsi="仿宋" w:eastAsia="仿宋" w:cs="仿宋"/>
          <w:color w:val="0D0D0D"/>
          <w:kern w:val="1"/>
          <w:sz w:val="24"/>
          <w:szCs w:val="24"/>
          <w:lang w:val="en-US" w:eastAsia="zh-CN"/>
        </w:rPr>
        <w:t>2具有独立承担民事责任的能力（企业法人应提供统一社会信用代码的营业执照；事业法人应提供事业单位法人证、组织机构代码证等证明文件；其他组织应提供合法证明文件；自然人提供身份证明文件）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7791"/>
      <w:bookmarkStart w:id="21" w:name="_Toc31455"/>
      <w:bookmarkStart w:id="22" w:name="_Toc13233"/>
      <w:bookmarkStart w:id="23" w:name="_Toc2910"/>
      <w:bookmarkStart w:id="24" w:name="_Toc4788"/>
      <w:bookmarkStart w:id="25" w:name="_Toc13195"/>
      <w:bookmarkStart w:id="26" w:name="_Toc20375"/>
      <w:bookmarkStart w:id="27" w:name="_Toc30477"/>
      <w:bookmarkStart w:id="28" w:name="_Toc27097"/>
      <w:bookmarkStart w:id="29" w:name="_Toc5468"/>
      <w:bookmarkStart w:id="30" w:name="_Toc15615"/>
      <w:bookmarkStart w:id="31" w:name="_Toc13516"/>
      <w:bookmarkStart w:id="32" w:name="_Toc10778"/>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4有依法缴纳税收和社会保障资金的良好记录（提供开标前 12 个月内任一月份的社保和缴纳税收的证明，税种须包含增值税或企业所得税，依法不需要缴纳社会保障资金、免税或无须缴纳税款的供应商，应提供相关证明文件)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15791"/>
      <w:bookmarkStart w:id="36" w:name="_Toc13583"/>
      <w:bookmarkStart w:id="37" w:name="_Toc4842"/>
      <w:bookmarkStart w:id="38" w:name="_Toc30844"/>
      <w:bookmarkStart w:id="39" w:name="_Toc28034"/>
      <w:bookmarkStart w:id="40" w:name="_Toc19143"/>
      <w:bookmarkStart w:id="41" w:name="_Toc26845"/>
      <w:bookmarkStart w:id="42" w:name="_Toc29806"/>
      <w:bookmarkStart w:id="43" w:name="_Toc20233"/>
      <w:bookmarkStart w:id="44" w:name="_Toc7403"/>
      <w:bookmarkStart w:id="45" w:name="_Toc2140"/>
      <w:bookmarkStart w:id="46" w:name="_Toc28669"/>
      <w:bookmarkStart w:id="47" w:name="_Toc1448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13186"/>
      <w:bookmarkStart w:id="49" w:name="_Toc2879"/>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7供应商要求：具备建筑行政主管部门颁发的有效的消防设施工程专业承包二级以上（含二级）资质证明，并具备合格有效的安全生产许可证，并在“陕西省住房和城乡建设厅”官方网站可查询（提供网页截图）</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613BD534">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8拟派项目经理要求：项目经理具备机电工程专业二级以上（含二级）建造师证书证，具备有效的安全生产考核合格证，在本单位注册且无在建工程（承诺书）</w:t>
      </w:r>
      <w:bookmarkStart w:id="51" w:name="_GoBack"/>
      <w:bookmarkEnd w:id="51"/>
    </w:p>
    <w:bookmarkEnd w:id="50"/>
    <w:p w14:paraId="698E85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9452F1A"/>
    <w:rsid w:val="1B024889"/>
    <w:rsid w:val="25661DC7"/>
    <w:rsid w:val="28E379B7"/>
    <w:rsid w:val="30782FDA"/>
    <w:rsid w:val="4F240AA8"/>
    <w:rsid w:val="52966053"/>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2495</Words>
  <Characters>2530</Characters>
  <Lines>0</Lines>
  <Paragraphs>0</Paragraphs>
  <TotalTime>0</TotalTime>
  <ScaleCrop>false</ScaleCrop>
  <LinksUpToDate>false</LinksUpToDate>
  <CharactersWithSpaces>2968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2025-08-06T07:27:49Z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