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版本号：DQB-2025037-ZB20250806001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机动车及驾驶人管理业务材料（2025年度临时行驶车号牌项目）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DQB-2025037-ZB</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机动车及驾驶人管理业务材料（2025年度临时行驶车号牌项目）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DQB-2025037-ZB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机动车及驾驶人管理业务材料（2025年度临时行驶车号牌项目）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陕西省公安厅交通管理总队机动车及驾驶人管理业务材料（2025年度临时行驶车号牌项目），数量260万张。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采购包1（2025年度临时行驶车号牌）：属于专门面向中小企业采购。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11、其他特殊资格：具有有效的《印刷经营许可证》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陕西省公安厅交通管理总队经办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采购包1：1,011,975.00元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银行账号：52880188000136093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1.供应商应根据采购人的要求提交完整的验收报告单。验收由采购人、中标供应商及相关人员依国家有关标准、合同及有关附件要求进行。 2.到货后，依招标文件要求对全部产品、型号、规格、数量、外型、外观、包装及资料、文件等进行验收。 3.验收按国家有关的规定、规范进行。如果项目实施过程中因中标供应商原因发现产品有短缺、次品、损坏或其它不符合本合同规定或质量要求，中标供应商应在10个工作日内安排换货到指定地点，以保证合同产品成功完整交付。换货的全部费用由中标供应商承担，若超过合同期限的，应承担迟延履行的违约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陕西省公安厅交通管理总队机动车及驾驶人管理业务材料（2025年度临时行驶车号牌项目），数量260万张。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1,011,975.00</w:t>
      </w:r>
    </w:p>
    <w:p>
      <w:pPr>
        <w:pStyle w:val="null3"/>
      </w:pPr>
      <w:r>
        <w:rPr>
          <w:rFonts w:ascii="仿宋_GB2312" w:hAnsi="仿宋_GB2312" w:cs="仿宋_GB2312" w:eastAsia="仿宋_GB2312"/>
        </w:rPr>
        <w:t>采购包最高限价（元）: 1,011,975.00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260万张临时行驶车号牌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1,011,975.00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标的名称：260万张临时行驶车号牌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0"/>
              <w:gridCol w:w="368"/>
              <w:gridCol w:w="1765"/>
            </w:tblGrid>
            <w:tr>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技术参数与要求</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普通机动车</w:t>
                  </w:r>
                </w:p>
                <w:p>
                  <w:pPr>
                    <w:pStyle w:val="null3"/>
                    <w:jc w:val="center"/>
                  </w:pPr>
                  <w:r>
                    <w:rPr>
                      <w:rFonts w:ascii="仿宋_GB2312" w:hAnsi="仿宋_GB2312" w:cs="仿宋_GB2312" w:eastAsia="仿宋_GB2312"/>
                      <w:sz w:val="21"/>
                      <w:color w:val="000000"/>
                    </w:rPr>
                    <w:t>临</w:t>
                  </w:r>
                  <w:r>
                    <w:rPr>
                      <w:rFonts w:ascii="仿宋_GB2312" w:hAnsi="仿宋_GB2312" w:cs="仿宋_GB2312" w:eastAsia="仿宋_GB2312"/>
                      <w:sz w:val="21"/>
                      <w:color w:val="000000"/>
                    </w:rPr>
                    <w:t>时行驶车号牌</w:t>
                  </w:r>
                  <w:r>
                    <w:rPr>
                      <w:rFonts w:ascii="仿宋_GB2312" w:hAnsi="仿宋_GB2312" w:cs="仿宋_GB2312" w:eastAsia="仿宋_GB2312"/>
                      <w:sz w:val="21"/>
                      <w:color w:val="000000"/>
                    </w:rPr>
                    <w:t>（双面</w:t>
                  </w:r>
                  <w:r>
                    <w:rPr>
                      <w:rFonts w:ascii="仿宋_GB2312" w:hAnsi="仿宋_GB2312" w:cs="仿宋_GB2312" w:eastAsia="仿宋_GB2312"/>
                      <w:sz w:val="21"/>
                      <w:color w:val="000000"/>
                    </w:rPr>
                    <w:t>/套）</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6</w:t>
                  </w:r>
                  <w:r>
                    <w:rPr>
                      <w:rFonts w:ascii="仿宋_GB2312" w:hAnsi="仿宋_GB2312" w:cs="仿宋_GB2312" w:eastAsia="仿宋_GB2312"/>
                      <w:sz w:val="21"/>
                      <w:color w:val="000000"/>
                    </w:rPr>
                    <w:t>0万张</w:t>
                  </w:r>
                </w:p>
              </w:tc>
              <w:tc>
                <w:tcPr>
                  <w:tcW w:type="dxa" w:w="1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符合中华人民共和国公共安全行业标准</w:t>
                  </w:r>
                  <w:r>
                    <w:rPr>
                      <w:rFonts w:ascii="仿宋_GB2312" w:hAnsi="仿宋_GB2312" w:cs="仿宋_GB2312" w:eastAsia="仿宋_GB2312"/>
                      <w:sz w:val="21"/>
                      <w:color w:val="000000"/>
                    </w:rPr>
                    <w:t>GA36-2018</w:t>
                  </w:r>
                  <w:r>
                    <w:rPr>
                      <w:rFonts w:ascii="仿宋_GB2312" w:hAnsi="仿宋_GB2312" w:cs="仿宋_GB2312" w:eastAsia="仿宋_GB2312"/>
                      <w:sz w:val="21"/>
                      <w:color w:val="000000"/>
                    </w:rPr>
                    <w:t>及其第一号修改单规定的材质、式样、外观等要求。</w:t>
                  </w:r>
                </w:p>
                <w:p>
                  <w:pPr>
                    <w:pStyle w:val="null3"/>
                    <w:numPr>
                      <w:ilvl w:val="0"/>
                      <w:numId w:val="1"/>
                    </w:numPr>
                    <w:jc w:val="both"/>
                  </w:pPr>
                  <w:r>
                    <w:rPr>
                      <w:rFonts w:ascii="仿宋_GB2312" w:hAnsi="仿宋_GB2312" w:cs="仿宋_GB2312" w:eastAsia="仿宋_GB2312"/>
                      <w:sz w:val="21"/>
                      <w:color w:val="000000"/>
                    </w:rPr>
                    <w:t>规格尺寸：临时行驶车号牌外廓尺寸为</w:t>
                  </w:r>
                  <w:r>
                    <w:rPr>
                      <w:rFonts w:ascii="仿宋_GB2312" w:hAnsi="仿宋_GB2312" w:cs="仿宋_GB2312" w:eastAsia="仿宋_GB2312"/>
                      <w:sz w:val="21"/>
                      <w:color w:val="000000"/>
                    </w:rPr>
                    <w:t>220*140mm，误差为±0.5%。</w:t>
                  </w:r>
                </w:p>
                <w:p>
                  <w:pPr>
                    <w:pStyle w:val="null3"/>
                    <w:numPr>
                      <w:ilvl w:val="0"/>
                      <w:numId w:val="1"/>
                    </w:numPr>
                    <w:jc w:val="both"/>
                  </w:pPr>
                  <w:r>
                    <w:rPr>
                      <w:rFonts w:ascii="仿宋_GB2312" w:hAnsi="仿宋_GB2312" w:cs="仿宋_GB2312" w:eastAsia="仿宋_GB2312"/>
                      <w:sz w:val="21"/>
                      <w:color w:val="000000"/>
                    </w:rPr>
                    <w:t>材料：临时行驶车号牌使用</w:t>
                  </w:r>
                  <w:r>
                    <w:rPr>
                      <w:rFonts w:ascii="仿宋_GB2312" w:hAnsi="仿宋_GB2312" w:cs="仿宋_GB2312" w:eastAsia="仿宋_GB2312"/>
                      <w:sz w:val="21"/>
                      <w:color w:val="000000"/>
                    </w:rPr>
                    <w:t>QB/T1012规定的120g/m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以上的胶版印刷纸</w:t>
                  </w:r>
                </w:p>
                <w:p>
                  <w:pPr>
                    <w:pStyle w:val="null3"/>
                    <w:jc w:val="both"/>
                  </w:pPr>
                  <w:r>
                    <w:rPr>
                      <w:rFonts w:ascii="仿宋_GB2312" w:hAnsi="仿宋_GB2312" w:cs="仿宋_GB2312" w:eastAsia="仿宋_GB2312"/>
                      <w:sz w:val="21"/>
                      <w:color w:val="000000"/>
                    </w:rPr>
                    <w:t>3、字符和暗记：号牌正面有统一的暗记，暗记的位置和式样应一致。号牌背面有英文字母“LSXSC”组成的微缩文字。</w:t>
                  </w:r>
                </w:p>
                <w:p>
                  <w:pPr>
                    <w:pStyle w:val="null3"/>
                    <w:jc w:val="both"/>
                  </w:pPr>
                  <w:r>
                    <w:rPr>
                      <w:rFonts w:ascii="仿宋_GB2312" w:hAnsi="仿宋_GB2312" w:cs="仿宋_GB2312" w:eastAsia="仿宋_GB2312"/>
                      <w:sz w:val="21"/>
                      <w:color w:val="000000"/>
                    </w:rPr>
                    <w:t>4、生产序列标识：每张号牌背面应预印唯一性生产序列标识，生产序列标识应清晰完整。</w:t>
                  </w:r>
                </w:p>
                <w:p>
                  <w:pPr>
                    <w:pStyle w:val="null3"/>
                    <w:jc w:val="both"/>
                  </w:pPr>
                  <w:r>
                    <w:rPr>
                      <w:rFonts w:ascii="仿宋_GB2312" w:hAnsi="仿宋_GB2312" w:cs="仿宋_GB2312" w:eastAsia="仿宋_GB2312"/>
                      <w:sz w:val="21"/>
                      <w:color w:val="000000"/>
                    </w:rPr>
                    <w:t>5、外观：临时行驶车号牌底色采用天（酞）蓝（PB09），黑字黑框线。</w:t>
                  </w:r>
                </w:p>
                <w:p>
                  <w:pPr>
                    <w:pStyle w:val="null3"/>
                    <w:jc w:val="both"/>
                  </w:pPr>
                  <w:r>
                    <w:rPr>
                      <w:rFonts w:ascii="仿宋_GB2312" w:hAnsi="仿宋_GB2312" w:cs="仿宋_GB2312" w:eastAsia="仿宋_GB2312"/>
                      <w:sz w:val="21"/>
                      <w:color w:val="000000"/>
                    </w:rPr>
                    <w:t>6、黏附性能：临时行驶车号牌的黏附性，正面上下边缘涂可移除胶，涂胶宽度8mm-10mm,涂胶后覆盖小于40g的离型纸。</w:t>
                  </w:r>
                </w:p>
              </w:tc>
            </w:tr>
          </w:tbl>
          <w:p>
            <w:pPr>
              <w:pStyle w:val="null3"/>
              <w:ind w:firstLine="480"/>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、样品要求</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递交时间：投标文件提交截止时间前，逾期递交无效。</w:t>
            </w:r>
          </w:p>
          <w:p>
            <w:pPr>
              <w:pStyle w:val="null3"/>
              <w:ind w:firstLine="480"/>
              <w:jc w:val="left"/>
            </w:pPr>
            <w:r>
              <w:rPr>
                <w:rFonts w:ascii="仿宋_GB2312" w:hAnsi="仿宋_GB2312" w:cs="仿宋_GB2312" w:eastAsia="仿宋_GB2312"/>
                <w:sz w:val="21"/>
                <w:color w:val="000000"/>
              </w:rPr>
              <w:t>2.递交方式：</w:t>
            </w:r>
            <w:r>
              <w:rPr>
                <w:rFonts w:ascii="仿宋_GB2312" w:hAnsi="仿宋_GB2312" w:cs="仿宋_GB2312" w:eastAsia="仿宋_GB2312"/>
                <w:sz w:val="21"/>
                <w:color w:val="000000"/>
              </w:rPr>
              <w:t>线下</w:t>
            </w:r>
            <w:r>
              <w:rPr>
                <w:rFonts w:ascii="仿宋_GB2312" w:hAnsi="仿宋_GB2312" w:cs="仿宋_GB2312" w:eastAsia="仿宋_GB2312"/>
                <w:sz w:val="21"/>
                <w:color w:val="000000"/>
              </w:rPr>
              <w:t>递</w:t>
            </w:r>
            <w:r>
              <w:rPr>
                <w:rFonts w:ascii="仿宋_GB2312" w:hAnsi="仿宋_GB2312" w:cs="仿宋_GB2312" w:eastAsia="仿宋_GB2312"/>
                <w:sz w:val="21"/>
                <w:color w:val="000000"/>
              </w:rPr>
              <w:t>交（可同纸质</w:t>
            </w:r>
            <w:r>
              <w:rPr>
                <w:rFonts w:ascii="仿宋_GB2312" w:hAnsi="仿宋_GB2312" w:cs="仿宋_GB2312" w:eastAsia="仿宋_GB2312"/>
                <w:sz w:val="21"/>
                <w:color w:val="000000"/>
              </w:rPr>
              <w:t>投标</w:t>
            </w:r>
            <w:r>
              <w:rPr>
                <w:rFonts w:ascii="仿宋_GB2312" w:hAnsi="仿宋_GB2312" w:cs="仿宋_GB2312" w:eastAsia="仿宋_GB2312"/>
                <w:sz w:val="21"/>
                <w:color w:val="000000"/>
              </w:rPr>
              <w:t>文件邮寄递交）</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递交地点：</w:t>
            </w:r>
            <w:r>
              <w:rPr>
                <w:rFonts w:ascii="仿宋_GB2312" w:hAnsi="仿宋_GB2312" w:cs="仿宋_GB2312" w:eastAsia="仿宋_GB2312"/>
                <w:sz w:val="21"/>
                <w:color w:val="000000"/>
              </w:rPr>
              <w:t>同纸质</w:t>
            </w:r>
            <w:r>
              <w:rPr>
                <w:rFonts w:ascii="仿宋_GB2312" w:hAnsi="仿宋_GB2312" w:cs="仿宋_GB2312" w:eastAsia="仿宋_GB2312"/>
                <w:sz w:val="21"/>
                <w:color w:val="000000"/>
              </w:rPr>
              <w:t>投标</w:t>
            </w:r>
            <w:r>
              <w:rPr>
                <w:rFonts w:ascii="仿宋_GB2312" w:hAnsi="仿宋_GB2312" w:cs="仿宋_GB2312" w:eastAsia="仿宋_GB2312"/>
                <w:sz w:val="21"/>
                <w:color w:val="000000"/>
              </w:rPr>
              <w:t>文件递交地点</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4.样品数量3套，应与投标文件的产品一致。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样品退还时间：结果公告公示期届满后，未中标供应商的投标样品，由未中标供应商在</w:t>
            </w:r>
            <w:r>
              <w:rPr>
                <w:rFonts w:ascii="仿宋_GB2312" w:hAnsi="仿宋_GB2312" w:cs="仿宋_GB2312" w:eastAsia="仿宋_GB2312"/>
                <w:sz w:val="21"/>
              </w:rPr>
              <w:t>3个工作日内自行领回；中标供应商的样品送至采购单位封存，作为履约验收参考。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1.供应商应根据采购人的要求提交完整的验收报告单。验收由采购人、中标供应商及相关人员依国家有关标准、合同及有关附件要求进行。 2.到货后，依招标文件要求对全部产品、型号、规格、数量、外型、外观、包装及资料、文件等进行验收。 3.验收按国家有关的规定、规范进行。如果项目实施过程中因中标供应商原因发现产品有短缺、次品、损坏或其它不符合本合同规定或质量要求，中标供应商应在10个工作日内安排换货到指定地点，以保证合同产品成功完整交付。换货的全部费用由中标供应商承担，若超过合同期限的，应承担迟延履行的违约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货物全部到货抽检合格后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全部验收合格且售后完成后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除不可抗力外，如果乙方没有按照本合同约定的期限、地点和方式交付货物，那么甲方可要求乙方支付违约金，违约金按每迟延交付货物一日的应交付而未交付货物价格的0.5%计算，最高限额为本合同总价的5%；迟延交付货物的违约金计算数额达到前述最高限额之日起，甲方有权在要求乙方支付违约金的同时，书面通知乙方解除本合同； 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迟延付款的违约金计算数额达到前述最高限额之日起，乙方有权在要求甲方支付违约金的同时，书面通知甲方解除本合同； 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 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6.如果出现政府采购监督管理部门在处理投诉事项期间，书面通知甲方暂停采购活动的情形，或者询问或质疑事项可能影响中标结果的，导致甲方中止履行合同的情形，均不视为甲方违约。</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 （1）投标保证金退还： A．未中标供应商：自中标通知书发出之日起5个工作日内退还未中标供应商的投标保证金，无需亲自前来办理； B.中标供应商：自采购合同签订之日起5个工作日内退还中标供应商的投标保证金。（须携带合同原件或合同复印件（加盖单位鲜章）各一份，同时将合同扫描件发送至联系人邮箱），但因中标供应商自身原因导致无法及时退还的除外。 （2）有下列情况之一的，采购代理机构不予退还其交纳的投标保证金；情节严重的，由财政部门将其列入不良行为记录名单，在一至三年内禁止参加政府采购活动，并予以通报； A.开标后在招标文件规定的投标有效期间，投标供应商撤回其所投投标文件的； B.中标供应商无正当理由不与采购人签订合同的； C.中标供应商将中标项目转让给他人，或者在投标文件中未说明，且未经采购人同意，将中标项目分包给他人的； D.中标供应商拒绝履行合同义务的； E.中标供应商未按时缴付中标服务费的； F.由于中标供应商的原因导致中标无效的。 3.5.2其他要求 （1）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 （2）如提交保函，建议至少提前一个工作日将保函正本送至采购代理机构，如提供电子保函，应将电子保函发送至代理机构指定邮箱deqinlh@126.com。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w:t>
            </w:r>
          </w:p>
        </w:tc>
        <w:tc>
          <w:tcPr>
            <w:tcW w:type="dxa" w:w="3322"/>
          </w:tcPr>
          <w:p>
            <w:pPr>
              <w:pStyle w:val="null3"/>
            </w:pPr>
            <w:r>
              <w:rPr>
                <w:rFonts w:ascii="仿宋_GB2312" w:hAnsi="仿宋_GB2312" w:cs="仿宋_GB2312" w:eastAsia="仿宋_GB2312"/>
              </w:rPr>
              <w:t>具有有效的《印刷经营许可证》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法定代表人授权委托书 保证金汇款声明函 分项报价表 中小企业声明函 商务应答表 控股管理关系 投标人应提交的相关资格证明材料 投标函 残疾人福利性单位声明函 服务方案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法定代表人授权委托书 保证金汇款声明函 分项报价表 中小企业声明函 商务应答表 控股管理关系 投标人应提交的相关资格证明材料 投标函 残疾人福利性单位声明函 服务方案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投标人针对本项目有全面可行的项目实施方案，包含但不限于生产组织能力、生产进度保障计划、仓储和运输等。 ①方案内容全面、可行，表述清晰，计10分； ②方案内容较全面、可行，表述较清晰，计7分； ③方案内容一般，表述一般，计4分； ④方案内容不全，表述不够清晰，计1分； ⑤未提供项目实施方案不计分。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投标人根据项目要求，对生产工艺的主要技术、特点和质量水平进行详细描述。 ①描述内容全面、针对性强，完全符合要求，计 10 分； ②描述内容较全面，针对性一般，计7分； ③描述内容不全、表述不够清晰，计4分； ④未提供企业技术能力不计分。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生产设备</w:t>
            </w:r>
          </w:p>
        </w:tc>
        <w:tc>
          <w:tcPr>
            <w:tcW w:type="dxa" w:w="2492"/>
          </w:tcPr>
          <w:p>
            <w:pPr>
              <w:pStyle w:val="null3"/>
            </w:pPr>
            <w:r>
              <w:rPr>
                <w:rFonts w:ascii="仿宋_GB2312" w:hAnsi="仿宋_GB2312" w:cs="仿宋_GB2312" w:eastAsia="仿宋_GB2312"/>
              </w:rPr>
              <w:t>投标人生产设备（至少包含对开四色印刷机、自动模切机、喷码机、在线检测设备等），根据投入所需的印刷设备情况、辅助印刷设备、场地等进行综合评审。 ①完全满足要求计 6 分； ②每缺少1 项扣2分，扣完为止。 备注：提供设备现场彩色图片、相关设备清单及发票复印件，设备发票抬头必须与投标企业名称一致，否则不计分。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提供全面可行的质量保障措施，包含但不限于原材料采购、印刷质量控制、印刷技术、内部管理制度和质量控制标准等。 ①内容全面、可行，表述清晰，计10分； ②内容较全面、可行，表述较清晰，计7分； ③内容一般，表述一般，计4分； ④内容不全，表述不够清晰，计1分； ⑤未提供质量保障措施不计分。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各投标人针对本项目实施过程中可能出现的突发状况提交应急预案。 ①内容全面、可行，表述清晰，计10分； ②内容较全面、可行，表述较清晰，计7分； ③内容一般，表述一般，计4分； ④内容不全，表述不够清晰，计1分； ⑤未提供应急预案不计分。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针对本项目的安全保密管理方案，包含但不限于安全保密管理制度、消防保障制度、保密保障制度等。并提供安全、消防设施清单和现场照片，管理、设计、生产、仓储、发运人员保密协议等。 ①内容全面、资料完整、针对性强，完全符合要求，计5分； ②内容较全面、资料较完整、针对性较强，基本符合要求，计3分； ③内容不全，资料不完整，计1分； ④未提供安全保密管理方案不计分。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投标人针对本项目有专业的团队人员，从项目开始至货到采购人指定地点的全过程的人员配置及岗位情况、岗位职责等有具体描述。 ①人员配备合理、岗位职责明确、证明资料齐全、完全符合要求，计10分； ②人员配备较合理、岗位职责较明确、证明资料较齐全、较符合要求，计7分； ③人员配备不合理、岗位职责不明确，证明资料不齐全计4分； ④未提供人员配备方案不计分。 备注：提供专业技术人员简历及各种相关证书、本单位社保缴纳证明等。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本地化售后服务能力，并提供相关证明材料；配备至少3名固定人员，并提供人员身份证及在本单位缴纳的社保证明；售后服务保障齐全（包括但不限于发现印刷问题及时纠错、不合格产品无偿更换等问题），并作出详细承诺。 ①售后服务内容具体、完整、资料齐全的计10分； ②售后服务内容较为完整、资料较齐全的计7分； ③售后服务内容欠缺、资料不齐全的计4分； ④未提供售后服务不计分。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投标人提供2022年1月1日至今（以合同签订日期为准）类似项目业绩合同，每份计2分，满分6分。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投标人具有有效的《国家秘密载体印制资质证书》（防伪票证类乙级及以上）、质量体系认证（ISO9001）、环境体系认证（ISO14001）、信息安全管理体系认证（ISO27001）、职业健康安全管理体系认证（OHSAS18001或ISO45001），以上全部提供计3分，缺项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1、提供的样品符合中华人民共和国公共安全行业标准GA36-2018及其第一号修改单规定的材质、式样、外观等要求。 ①外观平整、清洁，无褶皱、破损、毛边、明显刀花等缺陷，计2分，存在细微瑕疵计1分，其他情况不计分。 ②印刷内容清晰，无糊版、透印、重影、缺色、龟纹等缺陷，计2分，存在细微瑕疵计1分，其他情况不计分。 ③墨色均匀、色相正确，无明显偏色，计2分，存在细微瑕疵计1分，其他情况不计分。 ④文字、线条清晰、完整、位置准确，墨色浓厚、均匀，计2分，存在细微瑕疵计1分，其他情况不计分。 ⑤图像网点结实，套印误差≤±0.1mm，计2分，存在细微瑕疵计1分，其他情况不计分。 2、未提供样品的不计分。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 投标报价得分=(评标 基准价／投标报价)×价格 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