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版本号：GCZB2025-07-158-Y20250808001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开创设计中心改建项目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GCZB2025-07-158-Y</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开创设计中心改建项目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GCZB2025-07-158-Y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开创设计中心改建项目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西安航空职业技术学院开创设计中心改建项目，1批，具体内容详见招标文件第三章技术要求。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西安航空职业技术学院开创设计中心改建项目</w:t>
      </w:r>
      <w:r>
        <w:rPr>
          <w:rFonts w:ascii="仿宋_GB2312" w:hAnsi="仿宋_GB2312" w:cs="仿宋_GB2312" w:eastAsia="仿宋_GB2312"/>
        </w:rPr>
        <w:t>，</w:t>
      </w:r>
      <w:r>
        <w:rPr>
          <w:rFonts w:ascii="仿宋_GB2312" w:hAnsi="仿宋_GB2312" w:cs="仿宋_GB2312" w:eastAsia="仿宋_GB2312"/>
        </w:rPr>
        <w:t>1批，具体内容详见招标文件</w:t>
      </w:r>
      <w:r>
        <w:rPr>
          <w:rFonts w:ascii="仿宋_GB2312" w:hAnsi="仿宋_GB2312" w:cs="仿宋_GB2312" w:eastAsia="仿宋_GB2312"/>
        </w:rPr>
        <w:t>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实验实训室系统控制软件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标的名称：实验实训室系统控制软件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5"/>
              <w:gridCol w:w="403"/>
              <w:gridCol w:w="1623"/>
              <w:gridCol w:w="204"/>
              <w:gridCol w:w="166"/>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系统控制软件</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一、云系统功能要求：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管理平台采用</w:t>
                  </w:r>
                  <w:r>
                    <w:rPr>
                      <w:rFonts w:ascii="仿宋_GB2312" w:hAnsi="仿宋_GB2312" w:cs="仿宋_GB2312" w:eastAsia="仿宋_GB2312"/>
                      <w:sz w:val="21"/>
                    </w:rPr>
                    <w:t>B/S 架构，无需安装客户端，管理员可以在任意地点使用PC、手机、平板电脑等设备访问WEB 页面即可进行终端和桌面的管理，支持账号密码和微信扫码多种登录方式；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支持跨校区分散部署，单一</w:t>
                  </w:r>
                  <w:r>
                    <w:rPr>
                      <w:rFonts w:ascii="仿宋_GB2312" w:hAnsi="仿宋_GB2312" w:cs="仿宋_GB2312" w:eastAsia="仿宋_GB2312"/>
                      <w:sz w:val="21"/>
                    </w:rPr>
                    <w:t>IP 地址即可访问和管理所有区域，支持多区域切换管理，支持新增区域，便于构建校级云桌面同一管理平台；</w:t>
                  </w:r>
                </w:p>
                <w:p>
                  <w:pPr>
                    <w:pStyle w:val="null3"/>
                    <w:jc w:val="both"/>
                  </w:pPr>
                  <w:r>
                    <w:rPr>
                      <w:rFonts w:ascii="仿宋_GB2312" w:hAnsi="仿宋_GB2312" w:cs="仿宋_GB2312" w:eastAsia="仿宋_GB2312"/>
                      <w:sz w:val="21"/>
                    </w:rPr>
                    <w:t>3)终端支持裸机部署模式，本地无操作系统也可连接服务器部署客户端，且局域网内任意安装好VOI 底层客户端的终端，都可以给其他终端传底层客户端系统，便于终端和服务器处在跨VLAN 环境下的环境部署；</w:t>
                  </w:r>
                </w:p>
                <w:p>
                  <w:pPr>
                    <w:pStyle w:val="null3"/>
                    <w:jc w:val="both"/>
                  </w:pPr>
                  <w:r>
                    <w:rPr>
                      <w:rFonts w:ascii="仿宋_GB2312" w:hAnsi="仿宋_GB2312" w:cs="仿宋_GB2312" w:eastAsia="仿宋_GB2312"/>
                      <w:sz w:val="21"/>
                    </w:rPr>
                    <w:t>4)管理平台和终端支持IPv4、IPv6网络环境下的安装使用，可配置IPv4、IPv6网络信息；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支持端对端数据智能传输，可将已有镜像的终端作为发送端，给同教室内其他终端下发镜像，提升系统下发效率</w:t>
                  </w:r>
                  <w:r>
                    <w:rPr>
                      <w:rFonts w:ascii="仿宋_GB2312" w:hAnsi="仿宋_GB2312" w:cs="仿宋_GB2312" w:eastAsia="仿宋_GB2312"/>
                      <w:sz w:val="21"/>
                    </w:rPr>
                    <w:t>;</w:t>
                  </w:r>
                  <w:r>
                    <w:rPr>
                      <w:rFonts w:ascii="仿宋_GB2312" w:hAnsi="仿宋_GB2312" w:cs="仿宋_GB2312" w:eastAsia="仿宋_GB2312"/>
                      <w:sz w:val="21"/>
                    </w:rPr>
                    <w:t>支持端对端数据智能传输，可将已有镜像的终端作为发送端，给同教室内其他终端下发镜像，提升系统下发效率；系统下发支持分盘下发，可同时下发系统盘和数据盘数据，也可独立分发系统盘数据，满足系统盘更新同时保留</w:t>
                  </w:r>
                  <w:r>
                    <w:rPr>
                      <w:rFonts w:ascii="仿宋_GB2312" w:hAnsi="仿宋_GB2312" w:cs="仿宋_GB2312" w:eastAsia="仿宋_GB2312"/>
                      <w:sz w:val="21"/>
                    </w:rPr>
                    <w:t>数据盘数据的需求，提升系统下发的灵活性；提供相关证明材料（不限于官网截图、功能截图、产品彩页、技术白皮书</w:t>
                  </w:r>
                  <w:r>
                    <w:rPr>
                      <w:rFonts w:ascii="仿宋_GB2312" w:hAnsi="仿宋_GB2312" w:cs="仿宋_GB2312" w:eastAsia="仿宋_GB2312"/>
                      <w:sz w:val="21"/>
                    </w:rPr>
                    <w:t>、</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系统下发支持</w:t>
                  </w:r>
                  <w:r>
                    <w:rPr>
                      <w:rFonts w:ascii="仿宋_GB2312" w:hAnsi="仿宋_GB2312" w:cs="仿宋_GB2312" w:eastAsia="仿宋_GB2312"/>
                      <w:sz w:val="21"/>
                    </w:rPr>
                    <w:t>BT和广播两种模式，广播支持跨VLAN环境且无需第三方软硬件设备，以提升系统下发效率；</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为了应对学校网络调整，可在管理平台上灵活修改服务器的</w:t>
                  </w:r>
                  <w:r>
                    <w:rPr>
                      <w:rFonts w:ascii="仿宋_GB2312" w:hAnsi="仿宋_GB2312" w:cs="仿宋_GB2312" w:eastAsia="仿宋_GB2312"/>
                      <w:sz w:val="21"/>
                    </w:rPr>
                    <w:t>ip地址，无需重启服务器，使用更改后的ip地址即可访问平台，平台原有模板、桌面信息、网</w:t>
                  </w:r>
                  <w:r>
                    <w:rPr>
                      <w:rFonts w:ascii="仿宋_GB2312" w:hAnsi="仿宋_GB2312" w:cs="仿宋_GB2312" w:eastAsia="仿宋_GB2312"/>
                      <w:sz w:val="21"/>
                    </w:rPr>
                    <w:t>络配置无变化；</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制作系统模板时支持样机制作方式，可在教室任意选择一台样机，系统和软件安装完成后将样机模板上传到服务器端；同时支持</w:t>
                  </w:r>
                  <w:r>
                    <w:rPr>
                      <w:rFonts w:ascii="仿宋_GB2312" w:hAnsi="仿宋_GB2312" w:cs="仿宋_GB2312" w:eastAsia="仿宋_GB2312"/>
                      <w:sz w:val="21"/>
                    </w:rPr>
                    <w:t>web 平台制作方式，无需到教室寻找样机，直接在管理平台上通过虚拟机制作模板然后下发，提高样机制作便捷度；支持服务器数据的迁移功能，可将旧服务器上的数据全部同步到新服务器上，保障数据的统一性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支持控制节点</w:t>
                  </w:r>
                  <w:r>
                    <w:rPr>
                      <w:rFonts w:ascii="仿宋_GB2312" w:hAnsi="仿宋_GB2312" w:cs="仿宋_GB2312" w:eastAsia="仿宋_GB2312"/>
                      <w:sz w:val="21"/>
                    </w:rPr>
                    <w:t>HA，配置两台主控时采用主备模式，当主控服务器故障，备控服务器自动完成接管，虚拟桌面零中断，执行HA切换前后，所有终端连接服务器的网络配置无需更改；HA触发的敏感时间可精细化到秒并可配置；为保证系统网络安全性与稳定性，支持多网卡绑定，支持activebackup、broadcast、roundrobin、random、loadbalance、lacp等6种常用的bond模式； 也可支持管理网络、镜像网络分离，将两种网络分别绑定到不同的服务器物理网卡，实现网络分流，上述功能均无需采用命令行操作；</w:t>
                  </w:r>
                  <w:r>
                    <w:rPr>
                      <w:rFonts w:ascii="仿宋_GB2312" w:hAnsi="仿宋_GB2312" w:cs="仿宋_GB2312" w:eastAsia="仿宋_GB2312"/>
                      <w:sz w:val="21"/>
                      <w:b/>
                    </w:rPr>
                    <w:t xml:space="preserve"> </w:t>
                  </w:r>
                  <w:r>
                    <w:rPr>
                      <w:rFonts w:ascii="仿宋_GB2312" w:hAnsi="仿宋_GB2312" w:cs="仿宋_GB2312" w:eastAsia="仿宋_GB2312"/>
                      <w:sz w:val="21"/>
                    </w:rPr>
                    <w:t>提供相关证明材料（不限于官网截图、功能截图、产品彩页、技术白皮书等）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平台支持下发</w:t>
                  </w:r>
                  <w:r>
                    <w:rPr>
                      <w:rFonts w:ascii="仿宋_GB2312" w:hAnsi="仿宋_GB2312" w:cs="仿宋_GB2312" w:eastAsia="仿宋_GB2312"/>
                      <w:sz w:val="21"/>
                    </w:rPr>
                    <w:t>windows和linux系统，在为教室分配桌面时，能够手动选择配置好的windows和linux模板，桌面创建支持自动编排终端的计算机名及编号，能够单独设定桌面系统盘/数据盘的还原属性，支持不还原/每次还原/每周还原/每月还原，支持自动更新桌面；提供相关证明材料（不限于官网截图、功能截图、产品彩页、技术白皮书等）</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单个终端可同时支持教学桌面和个人桌面两种使用方式，教学桌面开机无需账号直接进入桌面，满足学生上课使用；个人桌面开机须输入账号密码进入桌面</w:t>
                  </w:r>
                  <w:r>
                    <w:rPr>
                      <w:rFonts w:ascii="仿宋_GB2312" w:hAnsi="仿宋_GB2312" w:cs="仿宋_GB2312" w:eastAsia="仿宋_GB2312"/>
                      <w:sz w:val="21"/>
                    </w:rPr>
                    <w:t>，便于个性化实验或教师办公使用；提供相关证明材料（不限于官网截图、功能截图、产品彩页、技术白皮书</w:t>
                  </w:r>
                  <w:r>
                    <w:rPr>
                      <w:rFonts w:ascii="仿宋_GB2312" w:hAnsi="仿宋_GB2312" w:cs="仿宋_GB2312" w:eastAsia="仿宋_GB2312"/>
                      <w:sz w:val="21"/>
                    </w:rPr>
                    <w:t>、</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管理员可以在</w:t>
                  </w:r>
                  <w:r>
                    <w:rPr>
                      <w:rFonts w:ascii="仿宋_GB2312" w:hAnsi="仿宋_GB2312" w:cs="仿宋_GB2312" w:eastAsia="仿宋_GB2312"/>
                      <w:sz w:val="21"/>
                    </w:rPr>
                    <w:t>WEB管理平台上进行服务器SSD硬盘性能测试，无需使用第三方测试工具，可直接获得SSD硬盘16K随机读、顺序写数值，同时还能够提供测试评级结果，帮助管理员更快地定位系统故障；</w:t>
                  </w:r>
                  <w:r>
                    <w:rPr>
                      <w:rFonts w:ascii="仿宋_GB2312" w:hAnsi="仿宋_GB2312" w:cs="仿宋_GB2312" w:eastAsia="仿宋_GB2312"/>
                      <w:sz w:val="21"/>
                      <w:b/>
                    </w:rPr>
                    <w:t>（提供真实软件系统的操作演示视频）</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针对教室桌面，能够设定独立的场景数据盘，并自动挂载到终端操作系统，针对场景数据盘能够设定清空策略，支持不</w:t>
                  </w:r>
                  <w:r>
                    <w:rPr>
                      <w:rFonts w:ascii="仿宋_GB2312" w:hAnsi="仿宋_GB2312" w:cs="仿宋_GB2312" w:eastAsia="仿宋_GB2312"/>
                      <w:sz w:val="21"/>
                    </w:rPr>
                    <w:t>清空</w:t>
                  </w:r>
                  <w:r>
                    <w:rPr>
                      <w:rFonts w:ascii="仿宋_GB2312" w:hAnsi="仿宋_GB2312" w:cs="仿宋_GB2312" w:eastAsia="仿宋_GB2312"/>
                      <w:sz w:val="21"/>
                    </w:rPr>
                    <w:t>/每周清空/每月清空等方式，满足单个专业环境下的数据存储要求；</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桌面还原属性修改，桌面创建完成后，可随时在管理平台根据教学需求修改教学桌面还原属性，可单独分别为系统盘和数据盘设置每次还原，每天还原，每周还原、每月还原或不还原，满足教学桌面还原和考试环境数据保存等需求；</w:t>
                  </w:r>
                  <w:r>
                    <w:rPr>
                      <w:rFonts w:ascii="仿宋_GB2312" w:hAnsi="仿宋_GB2312" w:cs="仿宋_GB2312" w:eastAsia="仿宋_GB2312"/>
                      <w:sz w:val="21"/>
                      <w:b/>
                    </w:rPr>
                    <w:t>（提供真实软件系统的操作演示视频）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支持个人桌面镜像分层技术，可直接在管理平台设置分层空间大小，用于存储用户系统盘产生的数据，个人桌面模板统一更新时，可保留个性化教学数据；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支持在管理平台上对教学桌面发起远程协助，便于随时解决学生桌面使用问题；</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支持模板管理，可针对不同的教学要求提供</w:t>
                  </w:r>
                  <w:r>
                    <w:rPr>
                      <w:rFonts w:ascii="仿宋_GB2312" w:hAnsi="仿宋_GB2312" w:cs="仿宋_GB2312" w:eastAsia="仿宋_GB2312"/>
                      <w:sz w:val="21"/>
                    </w:rPr>
                    <w:t>windows、linux 等多套教学模板，支持在web 平台对模板进行新增，编辑，注册，删除等操作；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windows系统下的屏幕水印功能，可设置水印显示位置、字体大小、颜色、透明度，可设置显示内容，包括桌面计算机名，终端序号，桌面IP地址，MAC地址，还原方式等信息，还可自定义显示内容，进入系统后，桌面右上角可置顶显示设置的信息水印，便于管理员维护时快速查找对应的终端；支持硬件虚拟化功能，开启后针对硬件识别码的软件可实现软件统一注册，大幅度降低激活软件带来的工作量；可针对每间实验室或每台</w:t>
                  </w:r>
                  <w:r>
                    <w:rPr>
                      <w:rFonts w:ascii="仿宋_GB2312" w:hAnsi="仿宋_GB2312" w:cs="仿宋_GB2312" w:eastAsia="仿宋_GB2312"/>
                      <w:sz w:val="21"/>
                    </w:rPr>
                    <w:t>。</w:t>
                  </w:r>
                  <w:r>
                    <w:rPr>
                      <w:rFonts w:ascii="仿宋_GB2312" w:hAnsi="仿宋_GB2312" w:cs="仿宋_GB2312" w:eastAsia="仿宋_GB2312"/>
                      <w:sz w:val="21"/>
                    </w:rPr>
                    <w:t>提供相关证明材料（不限于官网截图、功能截图、产品彩页、技术白皮书等）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支持模板更新点管理，可默认保留不少于三个时间点的更新进度，可对更新点进行合并、删除，减少资源占用；提供相关证明材料（不限于官网截图、功能截图、产品彩页、技术白皮书等）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支持模板分享链接，管理员可以将编辑模板的链接分享给需要编辑模板的用户，在浏览器中直接输入链接地址即可对模板进行编辑，支持分享日期、分享链接的失效期设置；（</w:t>
                  </w:r>
                  <w:r>
                    <w:rPr>
                      <w:rFonts w:ascii="仿宋_GB2312" w:hAnsi="仿宋_GB2312" w:cs="仿宋_GB2312" w:eastAsia="仿宋_GB2312"/>
                      <w:sz w:val="21"/>
                      <w:b/>
                    </w:rPr>
                    <w:t>提供真实软件系统的操作演示视频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支持设定公共的硬件模板，包括</w:t>
                  </w:r>
                  <w:r>
                    <w:rPr>
                      <w:rFonts w:ascii="仿宋_GB2312" w:hAnsi="仿宋_GB2312" w:cs="仿宋_GB2312" w:eastAsia="仿宋_GB2312"/>
                      <w:sz w:val="21"/>
                    </w:rPr>
                    <w:t>CPU 核数、内存、系统盘容量、数据盘容量，便于创建虚拟机搭建考试服务等应用系统；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单个终端可部署多个操作系统，支持在管理平台上设置终端数据盘，可任意选定可使用共享盘的操作系统数量，可设置终端数据盘的空间大小，并能设定清除策略，包含不清除</w:t>
                  </w:r>
                  <w:r>
                    <w:rPr>
                      <w:rFonts w:ascii="仿宋_GB2312" w:hAnsi="仿宋_GB2312" w:cs="仿宋_GB2312" w:eastAsia="仿宋_GB2312"/>
                      <w:sz w:val="21"/>
                    </w:rPr>
                    <w:t>/每周清除/每月清除；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支持消息发布功能，管理员可直接通过</w:t>
                  </w:r>
                  <w:r>
                    <w:rPr>
                      <w:rFonts w:ascii="仿宋_GB2312" w:hAnsi="仿宋_GB2312" w:cs="仿宋_GB2312" w:eastAsia="仿宋_GB2312"/>
                      <w:sz w:val="21"/>
                    </w:rPr>
                    <w:t>web 管理平台给终端发送消息，终端无需进入操作系统，在场景选单页面即可接收消息，消息可在屏幕上方显示；教室终端支持按需分配交换机，可设定交换机分组匹配部署，并可生成交换机拓扑图；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支持终端的快速筛选，如在隔位考试的情况下，可通过单双号方式，快速筛选定位所要查看的终端；</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针对终端可设置定时开关机计划，可按周期在固定时间唤醒和关闭对应的教学桌面终端，日期精确到天、时间精确到分钟，并可以指定开机的范围所对应的终端教室；可针对不同的功能模块和教室范围进行权限角色的划分，可授权管理员能操作的管理平台功能，权限细分到每一个功能菜单操作；可授权管理员可管理的教室范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为了保证服务器不因拉闸断电导致硬件损坏，能够通过平台设置服务器定时关机策略，能够设定周一至周五，服务器自动关机的时间，能够精确到分钟；</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支持提供虚拟服务器的系统桌面功能，可在管理平台直接选择安装包创建虚拟机，能够选择虚拟机的</w:t>
                  </w:r>
                  <w:r>
                    <w:rPr>
                      <w:rFonts w:ascii="仿宋_GB2312" w:hAnsi="仿宋_GB2312" w:cs="仿宋_GB2312" w:eastAsia="仿宋_GB2312"/>
                      <w:sz w:val="21"/>
                    </w:rPr>
                    <w:t>CPU/内存/系统盘/数据盘/网络，能够设定虚拟机开机随宿主机启动，可用于搭建考试服务器等应用服务；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提供系统操作日志功能，可独立查看管理日志和用户日志（包括操作内容，操作者，操作时间，登录主机</w:t>
                  </w:r>
                  <w:r>
                    <w:rPr>
                      <w:rFonts w:ascii="仿宋_GB2312" w:hAnsi="仿宋_GB2312" w:cs="仿宋_GB2312" w:eastAsia="仿宋_GB2312"/>
                      <w:sz w:val="21"/>
                    </w:rPr>
                    <w:t>IP，操作对象等），便于管理员精确定位操作记录，可设置日志的保留时间，如一个月，一年，永久等，支持对日志文件的备份，包括立即备份和自动备份，可设置自动备份周期、备份时间、备份文件保留数量；支持保留最少一周内的桌面下发记录，包括下发的终端名称，桌面名称，起止时间，下发状态等信息，便于后期可追溯；提供相关证明材料（不限于官网截图、功能截图、产品彩页、技术白皮书等）</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支持在管理平台上编辑学期课表</w:t>
                  </w:r>
                  <w:r>
                    <w:rPr>
                      <w:rFonts w:ascii="仿宋_GB2312" w:hAnsi="仿宋_GB2312" w:cs="仿宋_GB2312" w:eastAsia="仿宋_GB2312"/>
                      <w:sz w:val="21"/>
                    </w:rPr>
                    <w:t>(无需依赖第三方软件或脚本)，可设置学期开始和结束时间、每节课起始时间（支持单双周排课），可直接将桌面模板拖拽到课表中，并按课表时间自动启动桌面环境，便于桌面的灵活切换；</w:t>
                  </w:r>
                  <w:r>
                    <w:rPr>
                      <w:rFonts w:ascii="仿宋_GB2312" w:hAnsi="仿宋_GB2312" w:cs="仿宋_GB2312" w:eastAsia="仿宋_GB2312"/>
                      <w:sz w:val="21"/>
                      <w:b/>
                    </w:rPr>
                    <w:t>（提供真实软件系统的操作演示视频）</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不限定终端类型，支持各种品牌</w:t>
                  </w:r>
                  <w:r>
                    <w:rPr>
                      <w:rFonts w:ascii="仿宋_GB2312" w:hAnsi="仿宋_GB2312" w:cs="仿宋_GB2312" w:eastAsia="仿宋_GB2312"/>
                      <w:sz w:val="21"/>
                    </w:rPr>
                    <w:t>PC，兼容PC 机等异构设备的统一管理，一个桌面模板自动适配所有异构设备；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usb 急救恢复，无需通过管理平台或者样机模式下发桌面，直接在终端插入专用急救u 盘，即可快速恢复操作系统，恢复以后仍可被管理平台识别和管理；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支持个人桌面重置功能，在个人桌面出现故障时，可将其立即重置为刚下发时的状态，及时恢复桌面系统环境；</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为了保障后续有完整的售后服务及定制需求，软件需为国产自主研发、非</w:t>
                  </w:r>
                  <w:r>
                    <w:rPr>
                      <w:rFonts w:ascii="仿宋_GB2312" w:hAnsi="仿宋_GB2312" w:cs="仿宋_GB2312" w:eastAsia="仿宋_GB2312"/>
                      <w:sz w:val="21"/>
                    </w:rPr>
                    <w:t>OEM产品；</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产品底层虚拟化技术通过</w:t>
                  </w:r>
                  <w:r>
                    <w:rPr>
                      <w:rFonts w:ascii="仿宋_GB2312" w:hAnsi="仿宋_GB2312" w:cs="仿宋_GB2312" w:eastAsia="仿宋_GB2312"/>
                      <w:sz w:val="21"/>
                    </w:rPr>
                    <w:t>“GB/T 35293-2017信息技术云计算虚拟机管理通用要求“和“GB/T 31915-2015信息技术弹性计算应用接口"测评；</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桌面云系统制造厂商需具备国家信息化部门颁发的</w:t>
                  </w:r>
                  <w:r>
                    <w:rPr>
                      <w:rFonts w:ascii="仿宋_GB2312" w:hAnsi="仿宋_GB2312" w:cs="仿宋_GB2312" w:eastAsia="仿宋_GB2312"/>
                      <w:sz w:val="21"/>
                    </w:rPr>
                    <w:t>ITSS信息技术服务标准符合性证书，云服务和运行维护两个业务领域，等级达到三级或以上等级；</w:t>
                  </w:r>
                </w:p>
                <w:p>
                  <w:pPr>
                    <w:pStyle w:val="null3"/>
                    <w:jc w:val="both"/>
                  </w:pPr>
                  <w:r>
                    <w:rPr>
                      <w:rFonts w:ascii="仿宋_GB2312" w:hAnsi="仿宋_GB2312" w:cs="仿宋_GB2312" w:eastAsia="仿宋_GB2312"/>
                      <w:sz w:val="21"/>
                    </w:rPr>
                    <w:t>二、终端管理系统功能要求：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可实现虚拟桌面环境下的屏幕广播，遥控监看，遥控转播，影音广播，行为管控，学生演示，在线考试，随堂测验，收发作业，电子白板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支持班级管理，可将频道和班级进行绑定，用于不同的教室登录不同的频道进行上课；支持屏幕广播功能，能够实现两种接收模式，包括学生全屏</w:t>
                  </w:r>
                  <w:r>
                    <w:rPr>
                      <w:rFonts w:ascii="仿宋_GB2312" w:hAnsi="仿宋_GB2312" w:cs="仿宋_GB2312" w:eastAsia="仿宋_GB2312"/>
                      <w:sz w:val="21"/>
                    </w:rPr>
                    <w:t>/窗口模式接收教师机广播的画面，全屏状态锁定学生鼠标和键盘；11)</w:t>
                  </w:r>
                  <w:r>
                    <w:rPr>
                      <w:rFonts w:ascii="仿宋_GB2312" w:hAnsi="仿宋_GB2312" w:cs="仿宋_GB2312" w:eastAsia="仿宋_GB2312"/>
                      <w:sz w:val="21"/>
                    </w:rPr>
                    <w:t>支持批量修改</w:t>
                  </w:r>
                  <w:r>
                    <w:rPr>
                      <w:rFonts w:ascii="仿宋_GB2312" w:hAnsi="仿宋_GB2312" w:cs="仿宋_GB2312" w:eastAsia="仿宋_GB2312"/>
                      <w:sz w:val="21"/>
                    </w:rPr>
                    <w:t>Windows用户登录名、计算机名和IP地址；</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支持远程命令（包括一键关闭应用程序，一键关闭学生打开的</w:t>
                  </w:r>
                  <w:r>
                    <w:rPr>
                      <w:rFonts w:ascii="仿宋_GB2312" w:hAnsi="仿宋_GB2312" w:cs="仿宋_GB2312" w:eastAsia="仿宋_GB2312"/>
                      <w:sz w:val="21"/>
                    </w:rPr>
                    <w:t>Windows 类窗口）、远程开机，远程关机等功能；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IPV4、IPV6网络环境下安装和正常使用，支持windows7 32位/64位，windows10 64位、windows11 64位操作系统；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支持对学生视图自定义命令和排序，便于学生未点名时，通过座位信息快速找到学生；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屏幕广播支持区域广播方式，教师端可选取一块区域广播给学生机；</w:t>
                  </w:r>
                  <w:r>
                    <w:rPr>
                      <w:rFonts w:ascii="仿宋_GB2312" w:hAnsi="仿宋_GB2312" w:cs="仿宋_GB2312" w:eastAsia="仿宋_GB2312"/>
                      <w:sz w:val="21"/>
                    </w:rPr>
                    <w:t>具备游戏互动教学功能，支持击鼓传花，电子抢答等互动方式；老师可对学生奖励小红花，显示每个学生的奖励数量，并可向学生发布奖励排行榜；</w:t>
                  </w:r>
                  <w:r>
                    <w:rPr>
                      <w:rFonts w:ascii="仿宋_GB2312" w:hAnsi="仿宋_GB2312" w:cs="仿宋_GB2312" w:eastAsia="仿宋_GB2312"/>
                      <w:sz w:val="21"/>
                    </w:rPr>
                    <w:t>提供相关证明材料（不限于官网截图、功能截图、产品彩页、技术白皮书</w:t>
                  </w:r>
                  <w:r>
                    <w:rPr>
                      <w:rFonts w:ascii="仿宋_GB2312" w:hAnsi="仿宋_GB2312" w:cs="仿宋_GB2312" w:eastAsia="仿宋_GB2312"/>
                      <w:sz w:val="21"/>
                    </w:rPr>
                    <w:t>、</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支持遥控转播，教师端可对单个学生机进行遥控并转播到其它学生机桌面；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影音广播，即使在终端未进入桌面的状态，也能够实现全体学生的影音广播，影音广播下支持视频的切换、暂停，并支持点击进度条任意地方以改变视频播放进度；支持遥控监看，教师可实时监看学生端的学生桌面，并可远程遥控学生端桌面，支持单屏控</w:t>
                  </w:r>
                  <w:r>
                    <w:rPr>
                      <w:rFonts w:ascii="仿宋_GB2312" w:hAnsi="仿宋_GB2312" w:cs="仿宋_GB2312" w:eastAsia="仿宋_GB2312"/>
                      <w:sz w:val="21"/>
                    </w:rPr>
                    <w:t>制和全体控制，控制时可锁定学生机；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教师机可以连续监看所选学生机屏幕，每屏可监视多个学生</w:t>
                  </w:r>
                  <w:r>
                    <w:rPr>
                      <w:rFonts w:ascii="仿宋_GB2312" w:hAnsi="仿宋_GB2312" w:cs="仿宋_GB2312" w:eastAsia="仿宋_GB2312"/>
                      <w:sz w:val="21"/>
                    </w:rPr>
                    <w:t>,可设置每屏学生机的数量以及学生机屏幕轮循的时间间隔；屏幕广播状态下，教师可开启实时语音，学生端可以通过耳机接听教师语音，同时支持屏幕笔功能，教师可通过屏幕笔将屏幕当做画板进行绘制；</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屏幕广播支持弹幕，教师机开启弹幕后，教师机和学生机可发送弹幕信息，便于及时交流；屏幕广播支持笔记截屏，教师机开启笔记截屏后，全屏广播时学生机可一键截取屏幕，保存上课重点信息；</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支持作业下发，教师机可将自己机器上的文件传输到学生机，支持一对多传输，当选中多台学生机执行下发文件时，教师端需选择其中一台学生机作为样本机，并选择存放路径，支持发送文件或文件夹；</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收取作业，教师可发起作业提交，学生提交作业后自动收取，默认将收取上来的作业存放在桌面，该路径可自定义更换；作业命名方式支持学生自定义和教师自定义，教师自定义命名支持加入学生姓名、学号、学生机器名或学生机</w:t>
                  </w:r>
                  <w:r>
                    <w:rPr>
                      <w:rFonts w:ascii="仿宋_GB2312" w:hAnsi="仿宋_GB2312" w:cs="仿宋_GB2312" w:eastAsia="仿宋_GB2312"/>
                      <w:sz w:val="21"/>
                    </w:rPr>
                    <w:t>IP地址中的一种方式；支持一键收取指定路径的学生作业，弥补学生忘交作业和不会提交作业的缺点，提升老师收取作业的时效性；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支持黑屏肃静，教师可对学生执行黑屏肃静操作，能够自定义黑屏肃静的提示信息，支持手动解锁、按时解锁、按时长解锁；</w:t>
                  </w:r>
                  <w:r>
                    <w:rPr>
                      <w:rFonts w:ascii="仿宋_GB2312" w:hAnsi="仿宋_GB2312" w:cs="仿宋_GB2312" w:eastAsia="仿宋_GB2312"/>
                      <w:sz w:val="21"/>
                    </w:rPr>
                    <w:t>提供相关证明材料（不限于官网截图、功能截图、产品彩页、技术白皮书</w:t>
                  </w:r>
                  <w:r>
                    <w:rPr>
                      <w:rFonts w:ascii="仿宋_GB2312" w:hAnsi="仿宋_GB2312" w:cs="仿宋_GB2312" w:eastAsia="仿宋_GB2312"/>
                      <w:sz w:val="21"/>
                    </w:rPr>
                    <w:t>、</w:t>
                  </w:r>
                  <w:r>
                    <w:rPr>
                      <w:rFonts w:ascii="仿宋_GB2312" w:hAnsi="仿宋_GB2312" w:cs="仿宋_GB2312" w:eastAsia="仿宋_GB2312"/>
                      <w:sz w:val="21"/>
                    </w:rPr>
                    <w:t>检测报告等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提供行为管控模块，支持程序黑白名单限制，支持禁用外网，禁用</w:t>
                  </w:r>
                  <w:r>
                    <w:rPr>
                      <w:rFonts w:ascii="仿宋_GB2312" w:hAnsi="仿宋_GB2312" w:cs="仿宋_GB2312" w:eastAsia="仿宋_GB2312"/>
                      <w:sz w:val="21"/>
                    </w:rPr>
                    <w:t>USB设备，教师端主界面可展示USB设备、程序、网络禁用状态；支持考试功能，包括试题编辑、下发试卷、成绩统计。可添加单选题、多选题、判断题、填空题、问答题；可设置考试时长，倒计时结束后自动结束考试。阅卷时，单</w:t>
                  </w:r>
                  <w:r>
                    <w:rPr>
                      <w:rFonts w:ascii="仿宋_GB2312" w:hAnsi="仿宋_GB2312" w:cs="仿宋_GB2312" w:eastAsia="仿宋_GB2312"/>
                      <w:sz w:val="21"/>
                    </w:rPr>
                    <w:t>选题、多选题、判断题支持自动评分和统计正确率；提供相关证明材料（不限于官网截图、功能截图、产品彩页、技术白皮书等）</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支持对学生的网络搜索进行关键字屏蔽，教师机设置限制搜索的关键词后，学生机通过浏览器搜索禁用的关键词，会自动弹出提示信息，或直接关闭学生机浏览器</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学生终端</w:t>
                  </w:r>
                </w:p>
                <w:p>
                  <w:pPr>
                    <w:pStyle w:val="null3"/>
                    <w:jc w:val="both"/>
                  </w:p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不得为组装机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2、中央处理单元：≥intel i5-14500 处理器，14 核心，≥2.6Ghz 主频。</w:t>
                  </w:r>
                </w:p>
                <w:p>
                  <w:pPr>
                    <w:pStyle w:val="null3"/>
                    <w:jc w:val="left"/>
                  </w:pPr>
                  <w:r>
                    <w:rPr>
                      <w:rFonts w:ascii="仿宋_GB2312" w:hAnsi="仿宋_GB2312" w:cs="仿宋_GB2312" w:eastAsia="仿宋_GB2312"/>
                      <w:sz w:val="21"/>
                    </w:rPr>
                    <w:t>3、芯片组：≥Intel 770 芯片组。</w:t>
                  </w:r>
                </w:p>
                <w:p>
                  <w:pPr>
                    <w:pStyle w:val="null3"/>
                    <w:jc w:val="left"/>
                  </w:pPr>
                  <w:r>
                    <w:rPr>
                      <w:rFonts w:ascii="仿宋_GB2312" w:hAnsi="仿宋_GB2312" w:cs="仿宋_GB2312" w:eastAsia="仿宋_GB2312"/>
                      <w:sz w:val="21"/>
                    </w:rPr>
                    <w:t>4、内存：≥16G 内存 DDR5 4800，≥2 个内存插槽。</w:t>
                  </w:r>
                </w:p>
                <w:p>
                  <w:pPr>
                    <w:pStyle w:val="null3"/>
                    <w:jc w:val="left"/>
                  </w:pPr>
                  <w:r>
                    <w:rPr>
                      <w:rFonts w:ascii="仿宋_GB2312" w:hAnsi="仿宋_GB2312" w:cs="仿宋_GB2312" w:eastAsia="仿宋_GB2312"/>
                      <w:sz w:val="21"/>
                    </w:rPr>
                    <w:t>5、数据存储要求：≥512G m.2 固态硬盘。</w:t>
                  </w:r>
                </w:p>
                <w:p>
                  <w:pPr>
                    <w:pStyle w:val="null3"/>
                    <w:jc w:val="left"/>
                  </w:pPr>
                  <w:r>
                    <w:rPr>
                      <w:rFonts w:ascii="仿宋_GB2312" w:hAnsi="仿宋_GB2312" w:cs="仿宋_GB2312" w:eastAsia="仿宋_GB2312"/>
                      <w:sz w:val="21"/>
                    </w:rPr>
                    <w:t>6、图像处理要求：≥原厂原配Nvdia GEF3050 8G 独显。</w:t>
                  </w:r>
                </w:p>
                <w:p>
                  <w:pPr>
                    <w:pStyle w:val="null3"/>
                    <w:jc w:val="left"/>
                  </w:pPr>
                  <w:r>
                    <w:rPr>
                      <w:rFonts w:ascii="仿宋_GB2312" w:hAnsi="仿宋_GB2312" w:cs="仿宋_GB2312" w:eastAsia="仿宋_GB2312"/>
                      <w:sz w:val="21"/>
                    </w:rPr>
                    <w:t>7、网卡：主板集成1000M 以太网卡，≥1 个RJ45 接口。</w:t>
                  </w:r>
                </w:p>
                <w:p>
                  <w:pPr>
                    <w:pStyle w:val="null3"/>
                    <w:jc w:val="left"/>
                  </w:pPr>
                  <w:r>
                    <w:rPr>
                      <w:rFonts w:ascii="仿宋_GB2312" w:hAnsi="仿宋_GB2312" w:cs="仿宋_GB2312" w:eastAsia="仿宋_GB2312"/>
                      <w:sz w:val="21"/>
                    </w:rPr>
                    <w:t>8、终端端口要求：≥2个PCIe，≥1个USB TypeC；≥4个USB3.2，≥1个DP，≥1个HDMI 接口。</w:t>
                  </w:r>
                </w:p>
                <w:p>
                  <w:pPr>
                    <w:pStyle w:val="null3"/>
                    <w:jc w:val="left"/>
                  </w:pPr>
                  <w:r>
                    <w:rPr>
                      <w:rFonts w:ascii="仿宋_GB2312" w:hAnsi="仿宋_GB2312" w:cs="仿宋_GB2312" w:eastAsia="仿宋_GB2312"/>
                      <w:sz w:val="21"/>
                    </w:rPr>
                    <w:t>9、键鼠：原厂USB 接口键盘鼠标，防水抗菌。</w:t>
                  </w:r>
                </w:p>
                <w:p>
                  <w:pPr>
                    <w:pStyle w:val="null3"/>
                    <w:jc w:val="left"/>
                  </w:pPr>
                  <w:r>
                    <w:rPr>
                      <w:rFonts w:ascii="仿宋_GB2312" w:hAnsi="仿宋_GB2312" w:cs="仿宋_GB2312" w:eastAsia="仿宋_GB2312"/>
                      <w:sz w:val="21"/>
                    </w:rPr>
                    <w:t>10、电源：≥350W 能效电源。</w:t>
                  </w:r>
                </w:p>
                <w:p>
                  <w:pPr>
                    <w:pStyle w:val="null3"/>
                    <w:jc w:val="left"/>
                  </w:pPr>
                  <w:r>
                    <w:rPr>
                      <w:rFonts w:ascii="仿宋_GB2312" w:hAnsi="仿宋_GB2312" w:cs="仿宋_GB2312" w:eastAsia="仿宋_GB2312"/>
                      <w:sz w:val="21"/>
                    </w:rPr>
                    <w:t>11、机箱：≥15.6 升，塔式大机箱，散热好，扩展强，内置扬声器。</w:t>
                  </w:r>
                </w:p>
                <w:p>
                  <w:pPr>
                    <w:pStyle w:val="null3"/>
                    <w:jc w:val="left"/>
                  </w:pPr>
                  <w:r>
                    <w:rPr>
                      <w:rFonts w:ascii="仿宋_GB2312" w:hAnsi="仿宋_GB2312" w:cs="仿宋_GB2312" w:eastAsia="仿宋_GB2312"/>
                      <w:sz w:val="21"/>
                    </w:rPr>
                    <w:t>12、终端显示部分：≥23.8in，分辨率≥1920*1080，≥100HZ 刷新率。</w:t>
                  </w:r>
                </w:p>
                <w:p>
                  <w:pPr>
                    <w:pStyle w:val="null3"/>
                    <w:jc w:val="left"/>
                  </w:pPr>
                  <w:r>
                    <w:rPr>
                      <w:rFonts w:ascii="仿宋_GB2312" w:hAnsi="仿宋_GB2312" w:cs="仿宋_GB2312" w:eastAsia="仿宋_GB2312"/>
                      <w:sz w:val="21"/>
                    </w:rPr>
                    <w:t>13、软件：windows10 64 位及以上版本等主流正版操作系统。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壁挂机柜</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≥6U</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w:t>
                  </w:r>
                  <w:r>
                    <w:rPr>
                      <w:rFonts w:ascii="仿宋_GB2312" w:hAnsi="仿宋_GB2312" w:cs="仿宋_GB2312" w:eastAsia="仿宋_GB2312"/>
                      <w:sz w:val="21"/>
                    </w:rPr>
                    <w:t>终</w:t>
                  </w:r>
                  <w:r>
                    <w:rPr>
                      <w:rFonts w:ascii="仿宋_GB2312" w:hAnsi="仿宋_GB2312" w:cs="仿宋_GB2312" w:eastAsia="仿宋_GB2312"/>
                      <w:sz w:val="21"/>
                    </w:rPr>
                    <w:t>端</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1、主板芯片：</w:t>
                  </w:r>
                  <w:r>
                    <w:rPr>
                      <w:rFonts w:ascii="仿宋_GB2312" w:hAnsi="仿宋_GB2312" w:cs="仿宋_GB2312" w:eastAsia="仿宋_GB2312"/>
                      <w:sz w:val="21"/>
                    </w:rPr>
                    <w:t>≥</w:t>
                  </w:r>
                  <w:r>
                    <w:rPr>
                      <w:rFonts w:ascii="仿宋_GB2312" w:hAnsi="仿宋_GB2312" w:cs="仿宋_GB2312" w:eastAsia="仿宋_GB2312"/>
                      <w:sz w:val="21"/>
                    </w:rPr>
                    <w:t>H610芯片组</w:t>
                  </w:r>
                </w:p>
                <w:p>
                  <w:pPr>
                    <w:pStyle w:val="null3"/>
                    <w:jc w:val="left"/>
                  </w:pPr>
                  <w:r>
                    <w:rPr>
                      <w:rFonts w:ascii="仿宋_GB2312" w:hAnsi="仿宋_GB2312" w:cs="仿宋_GB2312" w:eastAsia="仿宋_GB2312"/>
                      <w:sz w:val="21"/>
                    </w:rPr>
                    <w:t>2、CPU：</w:t>
                  </w:r>
                  <w:r>
                    <w:rPr>
                      <w:rFonts w:ascii="仿宋_GB2312" w:hAnsi="仿宋_GB2312" w:cs="仿宋_GB2312" w:eastAsia="仿宋_GB2312"/>
                      <w:sz w:val="21"/>
                    </w:rPr>
                    <w:t>≥</w:t>
                  </w:r>
                  <w:r>
                    <w:rPr>
                      <w:rFonts w:ascii="仿宋_GB2312" w:hAnsi="仿宋_GB2312" w:cs="仿宋_GB2312" w:eastAsia="仿宋_GB2312"/>
                      <w:sz w:val="21"/>
                    </w:rPr>
                    <w:t>I7 12700 十二核 二十线程 2.1GHz主频，最高睿频4.9GHz</w:t>
                  </w:r>
                </w:p>
                <w:p>
                  <w:pPr>
                    <w:pStyle w:val="null3"/>
                    <w:jc w:val="left"/>
                  </w:pPr>
                  <w:r>
                    <w:rPr>
                      <w:rFonts w:ascii="仿宋_GB2312" w:hAnsi="仿宋_GB2312" w:cs="仿宋_GB2312" w:eastAsia="仿宋_GB2312"/>
                      <w:sz w:val="21"/>
                    </w:rPr>
                    <w:t>3、内存：</w:t>
                  </w:r>
                  <w:r>
                    <w:rPr>
                      <w:rFonts w:ascii="仿宋_GB2312" w:hAnsi="仿宋_GB2312" w:cs="仿宋_GB2312" w:eastAsia="仿宋_GB2312"/>
                      <w:sz w:val="21"/>
                    </w:rPr>
                    <w:t>≥</w:t>
                  </w:r>
                  <w:r>
                    <w:rPr>
                      <w:rFonts w:ascii="仿宋_GB2312" w:hAnsi="仿宋_GB2312" w:cs="仿宋_GB2312" w:eastAsia="仿宋_GB2312"/>
                      <w:sz w:val="21"/>
                    </w:rPr>
                    <w:t>64G DDR4，支持双通道内存设计，最大可扩展至64GB，支持底面单独开盖即可更换升级内存</w:t>
                  </w:r>
                </w:p>
                <w:p>
                  <w:pPr>
                    <w:pStyle w:val="null3"/>
                    <w:jc w:val="left"/>
                  </w:pPr>
                  <w:r>
                    <w:rPr>
                      <w:rFonts w:ascii="仿宋_GB2312" w:hAnsi="仿宋_GB2312" w:cs="仿宋_GB2312" w:eastAsia="仿宋_GB2312"/>
                      <w:sz w:val="21"/>
                    </w:rPr>
                    <w:t>4、硬盘：</w:t>
                  </w:r>
                  <w:r>
                    <w:rPr>
                      <w:rFonts w:ascii="仿宋_GB2312" w:hAnsi="仿宋_GB2312" w:cs="仿宋_GB2312" w:eastAsia="仿宋_GB2312"/>
                      <w:sz w:val="21"/>
                    </w:rPr>
                    <w:t>≥</w:t>
                  </w:r>
                  <w:r>
                    <w:rPr>
                      <w:rFonts w:ascii="仿宋_GB2312" w:hAnsi="仿宋_GB2312" w:cs="仿宋_GB2312" w:eastAsia="仿宋_GB2312"/>
                      <w:sz w:val="21"/>
                    </w:rPr>
                    <w:t>1TB SSD，支持M.2/mSATA多种存储方式</w:t>
                  </w:r>
                </w:p>
                <w:p>
                  <w:pPr>
                    <w:pStyle w:val="null3"/>
                    <w:jc w:val="left"/>
                  </w:pPr>
                  <w:r>
                    <w:rPr>
                      <w:rFonts w:ascii="仿宋_GB2312" w:hAnsi="仿宋_GB2312" w:cs="仿宋_GB2312" w:eastAsia="仿宋_GB2312"/>
                      <w:sz w:val="21"/>
                    </w:rPr>
                    <w:t>5、接口：4*USB 2.0,4*USB 3.0,1*VGA,1*HDMI,1*COM（串口）1*IR红外，2*音频输入输出，1*千兆网口</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图像处理要求：</w:t>
                  </w:r>
                  <w:r>
                    <w:rPr>
                      <w:rFonts w:ascii="仿宋_GB2312" w:hAnsi="仿宋_GB2312" w:cs="仿宋_GB2312" w:eastAsia="仿宋_GB2312"/>
                      <w:sz w:val="21"/>
                    </w:rPr>
                    <w:t>≥原厂原配Nvdia GEF3050 8G 独显。</w:t>
                  </w:r>
                </w:p>
                <w:p>
                  <w:pPr>
                    <w:pStyle w:val="null3"/>
                    <w:jc w:val="left"/>
                  </w:pPr>
                  <w:r>
                    <w:rPr>
                      <w:rFonts w:ascii="仿宋_GB2312" w:hAnsi="仿宋_GB2312" w:cs="仿宋_GB2312" w:eastAsia="仿宋_GB2312"/>
                      <w:sz w:val="21"/>
                    </w:rPr>
                    <w:t>7、终端显示部分：≥23.8in，分辨率≥1920*1080，≥100HZ 刷新率。</w:t>
                  </w:r>
                </w:p>
                <w:p>
                  <w:pPr>
                    <w:pStyle w:val="null3"/>
                    <w:jc w:val="left"/>
                  </w:pPr>
                  <w:r>
                    <w:rPr>
                      <w:rFonts w:ascii="仿宋_GB2312" w:hAnsi="仿宋_GB2312" w:cs="仿宋_GB2312" w:eastAsia="仿宋_GB2312"/>
                      <w:sz w:val="21"/>
                    </w:rPr>
                    <w:t>8、不得为组装机</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交换容量</w:t>
                  </w:r>
                  <w:r>
                    <w:rPr>
                      <w:rFonts w:ascii="仿宋_GB2312" w:hAnsi="仿宋_GB2312" w:cs="仿宋_GB2312" w:eastAsia="仿宋_GB2312"/>
                      <w:sz w:val="21"/>
                    </w:rPr>
                    <w:t>≥432Gbps</w:t>
                  </w:r>
                </w:p>
                <w:p>
                  <w:pPr>
                    <w:pStyle w:val="null3"/>
                    <w:numPr>
                      <w:ilvl w:val="0"/>
                      <w:numId w:val="1"/>
                    </w:numPr>
                    <w:jc w:val="left"/>
                  </w:pPr>
                  <w:r>
                    <w:rPr>
                      <w:rFonts w:ascii="仿宋_GB2312" w:hAnsi="仿宋_GB2312" w:cs="仿宋_GB2312" w:eastAsia="仿宋_GB2312"/>
                      <w:sz w:val="21"/>
                    </w:rPr>
                    <w:t>2、包转发率≥108Mpps，并提供官网链接及截图</w:t>
                  </w:r>
                </w:p>
                <w:p>
                  <w:pPr>
                    <w:pStyle w:val="null3"/>
                    <w:jc w:val="left"/>
                  </w:pPr>
                  <w:r>
                    <w:rPr>
                      <w:rFonts w:ascii="仿宋_GB2312" w:hAnsi="仿宋_GB2312" w:cs="仿宋_GB2312" w:eastAsia="仿宋_GB2312"/>
                      <w:sz w:val="21"/>
                    </w:rPr>
                    <w:t>3、48个千兆电口，4个千兆SFP，并提供官网链接及截图</w:t>
                  </w:r>
                </w:p>
                <w:p>
                  <w:pPr>
                    <w:pStyle w:val="null3"/>
                    <w:jc w:val="left"/>
                  </w:pPr>
                  <w:r>
                    <w:rPr>
                      <w:rFonts w:ascii="仿宋_GB2312" w:hAnsi="仿宋_GB2312" w:cs="仿宋_GB2312" w:eastAsia="仿宋_GB2312"/>
                      <w:sz w:val="21"/>
                    </w:rPr>
                    <w:t>4、支持Console接口</w:t>
                  </w:r>
                  <w:r>
                    <w:rPr>
                      <w:rFonts w:ascii="仿宋_GB2312" w:hAnsi="仿宋_GB2312" w:cs="仿宋_GB2312" w:eastAsia="仿宋_GB2312"/>
                      <w:sz w:val="21"/>
                    </w:rPr>
                    <w:t>，</w:t>
                  </w:r>
                  <w:r>
                    <w:rPr>
                      <w:rFonts w:ascii="仿宋_GB2312" w:hAnsi="仿宋_GB2312" w:cs="仿宋_GB2312" w:eastAsia="仿宋_GB2312"/>
                      <w:sz w:val="21"/>
                    </w:rPr>
                    <w:t>支持独立的网络指示灯，可以快速感知设备是否联网、是否被云管纳管。设备上线，清晰可见。</w:t>
                  </w:r>
                </w:p>
                <w:p>
                  <w:pPr>
                    <w:pStyle w:val="null3"/>
                    <w:jc w:val="left"/>
                  </w:pPr>
                  <w:r>
                    <w:rPr>
                      <w:rFonts w:ascii="仿宋_GB2312" w:hAnsi="仿宋_GB2312" w:cs="仿宋_GB2312" w:eastAsia="仿宋_GB2312"/>
                      <w:sz w:val="21"/>
                    </w:rPr>
                    <w:t>5、风冷散热，智能调速</w:t>
                  </w:r>
                </w:p>
                <w:p>
                  <w:pPr>
                    <w:pStyle w:val="null3"/>
                    <w:jc w:val="left"/>
                  </w:pPr>
                  <w:r>
                    <w:rPr>
                      <w:rFonts w:ascii="仿宋_GB2312" w:hAnsi="仿宋_GB2312" w:cs="仿宋_GB2312" w:eastAsia="仿宋_GB2312"/>
                      <w:sz w:val="21"/>
                    </w:rPr>
                    <w:t>6、支持MAC地址≥16K</w:t>
                  </w:r>
                </w:p>
                <w:p>
                  <w:pPr>
                    <w:pStyle w:val="null3"/>
                    <w:jc w:val="left"/>
                  </w:pPr>
                  <w:r>
                    <w:rPr>
                      <w:rFonts w:ascii="仿宋_GB2312" w:hAnsi="仿宋_GB2312" w:cs="仿宋_GB2312" w:eastAsia="仿宋_GB2312"/>
                      <w:sz w:val="21"/>
                    </w:rPr>
                    <w:t>7、支持≥4K VLAN</w:t>
                  </w:r>
                </w:p>
                <w:p>
                  <w:pPr>
                    <w:pStyle w:val="null3"/>
                    <w:jc w:val="left"/>
                  </w:pPr>
                  <w:r>
                    <w:rPr>
                      <w:rFonts w:ascii="仿宋_GB2312" w:hAnsi="仿宋_GB2312" w:cs="仿宋_GB2312" w:eastAsia="仿宋_GB2312"/>
                      <w:sz w:val="21"/>
                    </w:rPr>
                    <w:t>8、支持 ERPS 以太环保护协议（G.8032）；</w:t>
                  </w:r>
                </w:p>
                <w:p>
                  <w:pPr>
                    <w:pStyle w:val="null3"/>
                    <w:jc w:val="left"/>
                  </w:pPr>
                  <w:r>
                    <w:rPr>
                      <w:rFonts w:ascii="仿宋_GB2312" w:hAnsi="仿宋_GB2312" w:cs="仿宋_GB2312" w:eastAsia="仿宋_GB2312"/>
                      <w:sz w:val="21"/>
                    </w:rPr>
                    <w:t>9、支持 STP（IEEE 802.1d），RSTP（IEEE 802.1w）和 MSTP（IEEE 802.1s）协议；</w:t>
                  </w:r>
                </w:p>
                <w:p>
                  <w:pPr>
                    <w:pStyle w:val="null3"/>
                    <w:jc w:val="left"/>
                  </w:pPr>
                  <w:r>
                    <w:rPr>
                      <w:rFonts w:ascii="仿宋_GB2312" w:hAnsi="仿宋_GB2312" w:cs="仿宋_GB2312" w:eastAsia="仿宋_GB2312"/>
                      <w:sz w:val="21"/>
                    </w:rPr>
                    <w:t>10、MTBF（平均无故障时间）超过40年</w:t>
                  </w:r>
                </w:p>
                <w:p>
                  <w:pPr>
                    <w:pStyle w:val="null3"/>
                    <w:jc w:val="left"/>
                  </w:pPr>
                  <w:r>
                    <w:rPr>
                      <w:rFonts w:ascii="仿宋_GB2312" w:hAnsi="仿宋_GB2312" w:cs="仿宋_GB2312" w:eastAsia="仿宋_GB2312"/>
                      <w:sz w:val="21"/>
                    </w:rPr>
                    <w:t>11、可用度满足99.999%的电信级可靠性要求</w:t>
                  </w:r>
                </w:p>
                <w:p>
                  <w:pPr>
                    <w:pStyle w:val="null3"/>
                    <w:jc w:val="left"/>
                  </w:pPr>
                  <w:r>
                    <w:rPr>
                      <w:rFonts w:ascii="仿宋_GB2312" w:hAnsi="仿宋_GB2312" w:cs="仿宋_GB2312" w:eastAsia="仿宋_GB2312"/>
                      <w:sz w:val="21"/>
                    </w:rPr>
                    <w:t>12、业务口防雷可达10KV</w:t>
                  </w:r>
                </w:p>
                <w:p>
                  <w:pPr>
                    <w:pStyle w:val="null3"/>
                    <w:jc w:val="left"/>
                  </w:pPr>
                  <w:r>
                    <w:rPr>
                      <w:rFonts w:ascii="仿宋_GB2312" w:hAnsi="仿宋_GB2312" w:cs="仿宋_GB2312" w:eastAsia="仿宋_GB2312"/>
                      <w:sz w:val="21"/>
                    </w:rPr>
                    <w:t>13、使用非工业级光模块情况下的长期工作环境温度范围：-5℃~50℃</w:t>
                  </w:r>
                </w:p>
                <w:p>
                  <w:pPr>
                    <w:pStyle w:val="null3"/>
                    <w:jc w:val="left"/>
                  </w:pPr>
                  <w:r>
                    <w:rPr>
                      <w:rFonts w:ascii="仿宋_GB2312" w:hAnsi="仿宋_GB2312" w:cs="仿宋_GB2312" w:eastAsia="仿宋_GB2312"/>
                      <w:sz w:val="21"/>
                    </w:rPr>
                    <w:t>14、长期工作环境相对湿度为5%~95%，非凝露，</w:t>
                  </w:r>
                </w:p>
                <w:p>
                  <w:pPr>
                    <w:pStyle w:val="null3"/>
                    <w:jc w:val="left"/>
                  </w:pPr>
                  <w:r>
                    <w:rPr>
                      <w:rFonts w:ascii="仿宋_GB2312" w:hAnsi="仿宋_GB2312" w:cs="仿宋_GB2312" w:eastAsia="仿宋_GB2312"/>
                      <w:sz w:val="21"/>
                    </w:rPr>
                    <w:t>15、支持SNMP v1/v2/v3,Telnet,RMON，HTTPS,Web等方式进行管理和维护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4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实验室维修</w:t>
                  </w:r>
                  <w:r>
                    <w:rPr>
                      <w:rFonts w:ascii="仿宋_GB2312" w:hAnsi="仿宋_GB2312" w:cs="仿宋_GB2312" w:eastAsia="仿宋_GB2312"/>
                      <w:sz w:val="21"/>
                    </w:rPr>
                    <w:t>及原电脑搬迁</w:t>
                  </w:r>
                </w:p>
              </w:tc>
              <w:tc>
                <w:tcPr>
                  <w:tcW w:type="dxa" w:w="162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1、实验室现有损坏防静电地板维修更换，保证更换效果 （35块）</w:t>
                  </w:r>
                </w:p>
                <w:p>
                  <w:pPr>
                    <w:pStyle w:val="null3"/>
                    <w:jc w:val="left"/>
                  </w:pPr>
                  <w:r>
                    <w:rPr>
                      <w:rFonts w:ascii="仿宋_GB2312" w:hAnsi="仿宋_GB2312" w:cs="仿宋_GB2312" w:eastAsia="仿宋_GB2312"/>
                      <w:sz w:val="21"/>
                    </w:rPr>
                    <w:t>2、实验室软膜灯箱及射灯维护清洁（6个）</w:t>
                  </w:r>
                </w:p>
                <w:p>
                  <w:pPr>
                    <w:pStyle w:val="null3"/>
                    <w:jc w:val="left"/>
                  </w:pPr>
                  <w:r>
                    <w:rPr>
                      <w:rFonts w:ascii="仿宋_GB2312" w:hAnsi="仿宋_GB2312" w:cs="仿宋_GB2312" w:eastAsia="仿宋_GB2312"/>
                      <w:sz w:val="21"/>
                    </w:rPr>
                    <w:t>3、现有就机房电脑的拆除、搬运、入库（92台）</w:t>
                  </w:r>
                </w:p>
                <w:p>
                  <w:pPr>
                    <w:pStyle w:val="null3"/>
                    <w:jc w:val="left"/>
                  </w:pPr>
                  <w:r>
                    <w:rPr>
                      <w:rFonts w:ascii="仿宋_GB2312" w:hAnsi="仿宋_GB2312" w:cs="仿宋_GB2312" w:eastAsia="仿宋_GB2312"/>
                      <w:sz w:val="21"/>
                    </w:rPr>
                    <w:t>4、现有电脑的拆除、保养、、搬运、清洁、安装、调试（92台）</w:t>
                  </w:r>
                </w:p>
                <w:p>
                  <w:pPr>
                    <w:pStyle w:val="null3"/>
                    <w:jc w:val="left"/>
                  </w:pPr>
                  <w:r>
                    <w:rPr>
                      <w:rFonts w:ascii="仿宋_GB2312" w:hAnsi="仿宋_GB2312" w:cs="仿宋_GB2312" w:eastAsia="仿宋_GB2312"/>
                      <w:sz w:val="21"/>
                    </w:rPr>
                    <w:t>5、现有机房线路的部分维修（92台）</w:t>
                  </w:r>
                </w:p>
              </w:tc>
              <w:tc>
                <w:tcPr>
                  <w:tcW w:type="dxa" w:w="20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核心产品：</w:t>
            </w:r>
            <w:r>
              <w:rPr>
                <w:rFonts w:ascii="仿宋_GB2312" w:hAnsi="仿宋_GB2312" w:cs="仿宋_GB2312" w:eastAsia="仿宋_GB2312"/>
                <w:sz w:val="21"/>
              </w:rPr>
              <w:t>系统控制软件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合同签定之日起15天内。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根据投标文件、招标文件及合同约定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分项报价表.docx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开标一览表 产品技术参数表 分项报价表.docx 投标函 投标方案说明.docx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 完全符合、响应招标文件要求，没有负偏离的得25分；带“▲”项为重要技术指标，每有一个负偏离扣2分，其他未标记技术参数每有一个负偏离扣1分，扣完为止。如果技术标准中对所提供证明资料有要求，以技术标准中要求的证明材料为准，未作要求的应提供主要产品的功能及性能佐证材料（不限于产品检测报告或产品彩页或产品说明书或官网和功能截图等）。未提供者视为负偏离。（备注;演示项除外，不与演示项重复扣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投标人提供针对本项目的实施方案,包括项目①总体实施方案、②安装调试安排、③项目团队方案、④验收方案、⑤运输方案等。 评审标准：方案各部分内容全面详细、阐述条例清晰详尽、符合本项目采购需求，能保障本项目实施得7分；评审内容每缺一项扣1.4分，评审内容有缺陷未完全响应评审标准的扣0.1-1.3分。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系统控制软件</w:t>
            </w:r>
          </w:p>
        </w:tc>
        <w:tc>
          <w:tcPr>
            <w:tcW w:type="dxa" w:w="2492"/>
          </w:tcPr>
          <w:p>
            <w:pPr>
              <w:pStyle w:val="null3"/>
            </w:pPr>
            <w:r>
              <w:rPr>
                <w:rFonts w:ascii="仿宋_GB2312" w:hAnsi="仿宋_GB2312" w:cs="仿宋_GB2312" w:eastAsia="仿宋_GB2312"/>
              </w:rPr>
              <w:t>1、软件产品总体描述详细，技术方案合理，各模块功能满足招标文件要求，计5分； 2、软件产品总体描述较详细，技术方案基本合理，各模块功能基本满足招标文件要求，计3分； 3、软件产品及技术方案总体描述简单，部分模块功能有缺陷，计2分； 4、软件产品总体描述不详细，技术方案不合理，各模块功能不满足招标文件要求，计1分；未提供的不计分。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1、设备选型合理，规格、型号、产地，设备配套设施完整，完全符合采购需求计4分； 2、选型基本合理，基本满足采购需求的计3分； 3、选型不合理，不满足采购需求计1分；未提供不计分。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提供所投产品合法来源渠道证明文件（不限于销售协议、代理协议、原厂授权等），提供齐全计4分，提供不全的计0-2分，未提供不计分。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 各部分内容全面详细、阐述条例清晰详尽、符合本项目采购需求，得3分，评审内容每缺一项扣0.5分；评审内容有缺陷未完全响应评审标准的扣0.1-0.4分。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各部分内容全面详细、阐述条例清晰详尽、符合本项目采购需求，得2分，评审内容每缺一项扣0.5分；评审内容有缺陷未完全响应评审标准的扣0.1-0.4分。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各投标人提供真实设备操作演示视频进行演示，根据各投标人演示情况赋分。总共4个演示项，每成功演示一项得1.5分，满分6分。若演示提供为PPT或图片的均视为未演示，将按照0分计入。演示时长不超过10分钟（不含现场提问及解答时间），供应商自行准备演示设备，演示内容为“系统控制软件”中的如下技术参数条款：12）管理员可以在WEB管理平台上进行服务器SSD硬盘性能测试，无需使用第三方测试工具，可直接获得SSD硬盘16K随机读、顺序写数值，同时还能够提供测试评级结果，帮助管理员更快地定位系统故障；14）支持桌面还原属性修改，桌面创建完成后，可随时在管理平台根据教学需求修改教学桌面还原属性，可单独分别为系统盘和数据盘设置每次还原，每天还原，每周还原、每月还原或不还原，满足教学桌面还原和考试环境数据保存等需求；20）支持模板分享链接，管理员可以将编辑模板的链接分享给需要编辑模板的用户，在浏览器中直接输入链接地址即可对模板进行编辑，支持分享日期、分享链接的失效期设置；29)支持在管理平台上编辑学期课表 (无需依赖第三方软件或脚本)，可设置学期开始和结束时间、每节课起始时间（支持单双周排课），可直接将桌面模板拖拽到课表中，并按课表时间自动启动桌面环境，便于桌面的灵活切换； （演示地址：西安市高新区高新一路5号正信大厦A座24楼第二会议室）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