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版本号：KY2025-1-71120250807001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陕西政务服务平台短信服务项目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KY2025-1-711</w:t>
      </w:r>
      <w:r>
        <w:br/>
      </w:r>
      <w:r>
        <w:br/>
      </w:r>
      <w:r>
        <w:br/>
      </w:r>
    </w:p>
    <w:p>
      <w:pPr>
        <w:pStyle w:val="null3"/>
        <w:jc w:val="center"/>
        <w:outlineLvl w:val="2"/>
      </w:pPr>
      <w:r>
        <w:rPr>
          <w:rFonts w:ascii="仿宋_GB2312" w:hAnsi="仿宋_GB2312" w:cs="仿宋_GB2312" w:eastAsia="仿宋_GB2312"/>
          <w:sz w:val="28"/>
          <w:b/>
        </w:rPr>
        <w:t>陕西省政务大数据服务中心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陕西省政务大数据服务中心</w:t>
      </w:r>
      <w:r>
        <w:rPr>
          <w:rFonts w:ascii="仿宋_GB2312" w:hAnsi="仿宋_GB2312" w:cs="仿宋_GB2312" w:eastAsia="仿宋_GB2312"/>
        </w:rPr>
        <w:t>委托，拟对</w:t>
      </w:r>
      <w:r>
        <w:rPr>
          <w:rFonts w:ascii="仿宋_GB2312" w:hAnsi="仿宋_GB2312" w:cs="仿宋_GB2312" w:eastAsia="仿宋_GB2312"/>
        </w:rPr>
        <w:t>陕西政务服务平台短信服务项目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KY2025-1-711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陕西政务服务平台短信服务项目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陕西省政务大数据服务中心陕西政务服务平台短信服务项目，1项，具体内容详见采购文件第三章。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7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7、法定代表人授权书：法定代表人授权书及被授权人身份证明。（法定代表人直接磋商只须提交其身份证明）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陕西省政务大数据服务中心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029-88661371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银行账号：86113010750181502000245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执行。 3、本项目代理服务费按服务计取。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陕西省政务大数据服务中心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陕西省政务大数据服务中心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陕西省政务大数据服务中心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联系人：杭琨、韩婷</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陕西省政务大数据服务中心陕西政务服务平台短信服务项目，1项，具体内容详见采购需求。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陕西政务服务平台短信服务项目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标的名称：陕西政务服务平台短信服务项目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85" w:after="285"/>
              <w:jc w:val="both"/>
              <w:outlineLvl w:val="4"/>
            </w:pPr>
            <w:r>
              <w:rPr>
                <w:rFonts w:ascii="仿宋_GB2312" w:hAnsi="仿宋_GB2312" w:cs="仿宋_GB2312" w:eastAsia="仿宋_GB2312"/>
                <w:sz w:val="24"/>
                <w:b/>
              </w:rPr>
              <w:t>1.</w:t>
            </w:r>
            <w:r>
              <w:rPr>
                <w:rFonts w:ascii="仿宋_GB2312" w:hAnsi="仿宋_GB2312" w:cs="仿宋_GB2312" w:eastAsia="仿宋_GB2312"/>
                <w:sz w:val="24"/>
                <w:b/>
              </w:rPr>
              <w:t>项目背景与目标</w:t>
            </w:r>
          </w:p>
          <w:p>
            <w:pPr>
              <w:pStyle w:val="null3"/>
              <w:ind w:firstLine="480"/>
              <w:jc w:val="both"/>
            </w:pPr>
            <w:r>
              <w:rPr>
                <w:rFonts w:ascii="仿宋_GB2312" w:hAnsi="仿宋_GB2312" w:cs="仿宋_GB2312" w:eastAsia="仿宋_GB2312"/>
                <w:sz w:val="24"/>
              </w:rPr>
              <w:t>随着信息技术的发展，通过数字化打破行政壁垒、优化公共服务，为</w:t>
            </w:r>
            <w:r>
              <w:rPr>
                <w:rFonts w:ascii="仿宋_GB2312" w:hAnsi="仿宋_GB2312" w:cs="仿宋_GB2312" w:eastAsia="仿宋_GB2312"/>
                <w:sz w:val="24"/>
              </w:rPr>
              <w:t>“提升企业群众办事满意度，保障政务账户安全”成为政务服务提升治理能力的重要决策。通过政务服务网向群众发送登录、修改密码、办件进度、预约等短信，提高企业群众办事满意度，保障企业群众政务账户安全。政务服务短信发送服务是数字政府建设的关键环节，通过即时触达、安全验证、多网兼容支撑“一网通办”落地，既优化群众体验，也强化系统安全基座。我中心涉及政务服务短信验证服务提供覆盖移动、电信、联通、广电运营商的短信推送能力，实现全网统一码号服务。完成对短信应用的统一管理、统一维护和集中部署应用。政务服务短信发送服务预计每年发送短信约6000万条。</w:t>
            </w:r>
          </w:p>
          <w:p>
            <w:pPr>
              <w:pStyle w:val="null3"/>
              <w:ind w:firstLine="480"/>
              <w:jc w:val="both"/>
            </w:pPr>
            <w:r>
              <w:rPr>
                <w:rFonts w:ascii="仿宋_GB2312" w:hAnsi="仿宋_GB2312" w:cs="仿宋_GB2312" w:eastAsia="仿宋_GB2312"/>
                <w:sz w:val="24"/>
              </w:rPr>
              <w:t>采购目标：为政务服务提供稳定、安全、高效的短信验证码发送服务，提升用户体验和安全保障水平。</w:t>
            </w:r>
          </w:p>
          <w:p>
            <w:pPr>
              <w:pStyle w:val="null3"/>
              <w:spacing w:before="285" w:after="285"/>
              <w:jc w:val="both"/>
              <w:outlineLvl w:val="4"/>
            </w:pPr>
            <w:r>
              <w:rPr>
                <w:rFonts w:ascii="仿宋_GB2312" w:hAnsi="仿宋_GB2312" w:cs="仿宋_GB2312" w:eastAsia="仿宋_GB2312"/>
                <w:sz w:val="24"/>
                <w:b/>
              </w:rPr>
              <w:t>2.</w:t>
            </w:r>
            <w:r>
              <w:rPr>
                <w:rFonts w:ascii="仿宋_GB2312" w:hAnsi="仿宋_GB2312" w:cs="仿宋_GB2312" w:eastAsia="仿宋_GB2312"/>
                <w:sz w:val="24"/>
                <w:b/>
              </w:rPr>
              <w:t>短信服务范围</w:t>
            </w:r>
          </w:p>
          <w:p>
            <w:pPr>
              <w:pStyle w:val="null3"/>
              <w:ind w:firstLine="480"/>
              <w:jc w:val="both"/>
            </w:pPr>
            <w:r>
              <w:rPr>
                <w:rFonts w:ascii="仿宋_GB2312" w:hAnsi="仿宋_GB2312" w:cs="仿宋_GB2312" w:eastAsia="仿宋_GB2312"/>
                <w:sz w:val="24"/>
              </w:rPr>
              <w:t>限中国大陆地区手机号码的短信验证码发送服务，不包含营销短信、通知短信等其他类型。须支持移动、电信、联通、广电四家运营商用户的短信发送，并配备敏感词过滤、黑名单等功能。</w:t>
            </w:r>
          </w:p>
          <w:p>
            <w:pPr>
              <w:pStyle w:val="null3"/>
              <w:spacing w:before="285" w:after="285"/>
              <w:jc w:val="both"/>
              <w:outlineLvl w:val="4"/>
            </w:pPr>
            <w:r>
              <w:rPr>
                <w:rFonts w:ascii="仿宋_GB2312" w:hAnsi="仿宋_GB2312" w:cs="仿宋_GB2312" w:eastAsia="仿宋_GB2312"/>
                <w:sz w:val="24"/>
                <w:b/>
              </w:rPr>
              <w:t>3.</w:t>
            </w:r>
            <w:r>
              <w:rPr>
                <w:rFonts w:ascii="仿宋_GB2312" w:hAnsi="仿宋_GB2312" w:cs="仿宋_GB2312" w:eastAsia="仿宋_GB2312"/>
                <w:sz w:val="24"/>
                <w:b/>
              </w:rPr>
              <w:t>基础服务能力</w:t>
            </w:r>
          </w:p>
          <w:p>
            <w:pPr>
              <w:pStyle w:val="null3"/>
              <w:spacing w:before="240" w:after="60"/>
              <w:jc w:val="both"/>
              <w:outlineLvl w:val="5"/>
            </w:pPr>
            <w:r>
              <w:rPr>
                <w:rFonts w:ascii="仿宋_GB2312" w:hAnsi="仿宋_GB2312" w:cs="仿宋_GB2312" w:eastAsia="仿宋_GB2312"/>
                <w:sz w:val="24"/>
                <w:b/>
              </w:rPr>
              <w:t>(1)</w:t>
            </w:r>
            <w:r>
              <w:rPr>
                <w:rFonts w:ascii="仿宋_GB2312" w:hAnsi="仿宋_GB2312" w:cs="仿宋_GB2312" w:eastAsia="仿宋_GB2312"/>
                <w:sz w:val="24"/>
                <w:b/>
              </w:rPr>
              <w:t>支持号码范围</w:t>
            </w:r>
          </w:p>
          <w:p>
            <w:pPr>
              <w:pStyle w:val="null3"/>
              <w:ind w:firstLine="480"/>
              <w:jc w:val="both"/>
            </w:pPr>
            <w:r>
              <w:rPr>
                <w:rFonts w:ascii="仿宋_GB2312" w:hAnsi="仿宋_GB2312" w:cs="仿宋_GB2312" w:eastAsia="仿宋_GB2312"/>
                <w:sz w:val="24"/>
              </w:rPr>
              <w:t>支持中国大陆移动、联通、电信、广电运营商及号段，不支持虚拟运营商号段。</w:t>
            </w:r>
          </w:p>
          <w:p>
            <w:pPr>
              <w:pStyle w:val="null3"/>
              <w:spacing w:before="240" w:after="60"/>
              <w:jc w:val="both"/>
              <w:outlineLvl w:val="5"/>
            </w:pPr>
            <w:r>
              <w:rPr>
                <w:rFonts w:ascii="仿宋_GB2312" w:hAnsi="仿宋_GB2312" w:cs="仿宋_GB2312" w:eastAsia="仿宋_GB2312"/>
                <w:sz w:val="24"/>
                <w:b/>
              </w:rPr>
              <w:t>(2)</w:t>
            </w:r>
            <w:r>
              <w:rPr>
                <w:rFonts w:ascii="仿宋_GB2312" w:hAnsi="仿宋_GB2312" w:cs="仿宋_GB2312" w:eastAsia="仿宋_GB2312"/>
                <w:sz w:val="24"/>
                <w:b/>
              </w:rPr>
              <w:t>验证码内容规范</w:t>
            </w:r>
          </w:p>
          <w:p>
            <w:pPr>
              <w:pStyle w:val="null3"/>
              <w:ind w:firstLine="480"/>
              <w:jc w:val="both"/>
            </w:pPr>
            <w:r>
              <w:rPr>
                <w:rFonts w:ascii="仿宋_GB2312" w:hAnsi="仿宋_GB2312" w:cs="仿宋_GB2312" w:eastAsia="仿宋_GB2312"/>
                <w:sz w:val="24"/>
              </w:rPr>
              <w:t>Ø</w:t>
            </w:r>
            <w:r>
              <w:rPr>
                <w:rFonts w:ascii="仿宋_GB2312" w:hAnsi="仿宋_GB2312" w:cs="仿宋_GB2312" w:eastAsia="仿宋_GB2312"/>
                <w:sz w:val="24"/>
              </w:rPr>
              <w:t>固定前缀</w:t>
            </w:r>
            <w:r>
              <w:rPr>
                <w:rFonts w:ascii="仿宋_GB2312" w:hAnsi="仿宋_GB2312" w:cs="仿宋_GB2312" w:eastAsia="仿宋_GB2312"/>
                <w:sz w:val="24"/>
              </w:rPr>
              <w:t>/后缀（如：[XX公司/先生/女士]您的验证码是：******本验证码用于XXXX事项的办理，请妥善保管）。</w:t>
            </w:r>
          </w:p>
          <w:p>
            <w:pPr>
              <w:pStyle w:val="null3"/>
              <w:ind w:firstLine="480"/>
              <w:jc w:val="both"/>
            </w:pPr>
            <w:r>
              <w:rPr>
                <w:rFonts w:ascii="仿宋_GB2312" w:hAnsi="仿宋_GB2312" w:cs="仿宋_GB2312" w:eastAsia="仿宋_GB2312"/>
                <w:sz w:val="24"/>
              </w:rPr>
              <w:t>Ø</w:t>
            </w:r>
            <w:r>
              <w:rPr>
                <w:rFonts w:ascii="仿宋_GB2312" w:hAnsi="仿宋_GB2312" w:cs="仿宋_GB2312" w:eastAsia="仿宋_GB2312"/>
                <w:sz w:val="24"/>
              </w:rPr>
              <w:t>验证码位数（通常</w:t>
            </w:r>
            <w:r>
              <w:rPr>
                <w:rFonts w:ascii="仿宋_GB2312" w:hAnsi="仿宋_GB2312" w:cs="仿宋_GB2312" w:eastAsia="仿宋_GB2312"/>
                <w:sz w:val="24"/>
              </w:rPr>
              <w:t>4-6位数字或字母数字组合）。</w:t>
            </w:r>
          </w:p>
          <w:p>
            <w:pPr>
              <w:pStyle w:val="null3"/>
              <w:ind w:firstLine="480"/>
              <w:jc w:val="both"/>
            </w:pPr>
            <w:r>
              <w:rPr>
                <w:rFonts w:ascii="仿宋_GB2312" w:hAnsi="仿宋_GB2312" w:cs="仿宋_GB2312" w:eastAsia="仿宋_GB2312"/>
                <w:sz w:val="24"/>
              </w:rPr>
              <w:t>Ø</w:t>
            </w:r>
            <w:r>
              <w:rPr>
                <w:rFonts w:ascii="仿宋_GB2312" w:hAnsi="仿宋_GB2312" w:cs="仿宋_GB2312" w:eastAsia="仿宋_GB2312"/>
                <w:sz w:val="24"/>
              </w:rPr>
              <w:t>内容模板自定义能力（支持变量替换，如</w:t>
            </w:r>
            <w:r>
              <w:rPr>
                <w:rFonts w:ascii="仿宋_GB2312" w:hAnsi="仿宋_GB2312" w:cs="仿宋_GB2312" w:eastAsia="仿宋_GB2312"/>
                <w:sz w:val="24"/>
              </w:rPr>
              <w:t>{code}）。</w:t>
            </w:r>
          </w:p>
          <w:p>
            <w:pPr>
              <w:pStyle w:val="null3"/>
              <w:ind w:firstLine="480"/>
              <w:jc w:val="both"/>
            </w:pPr>
            <w:r>
              <w:rPr>
                <w:rFonts w:ascii="仿宋_GB2312" w:hAnsi="仿宋_GB2312" w:cs="仿宋_GB2312" w:eastAsia="仿宋_GB2312"/>
                <w:sz w:val="24"/>
              </w:rPr>
              <w:t>Ø</w:t>
            </w:r>
            <w:r>
              <w:rPr>
                <w:rFonts w:ascii="仿宋_GB2312" w:hAnsi="仿宋_GB2312" w:cs="仿宋_GB2312" w:eastAsia="仿宋_GB2312"/>
                <w:sz w:val="24"/>
              </w:rPr>
              <w:t>符合运营商及工信部关于验证码短信的模板规范要求。</w:t>
            </w:r>
          </w:p>
          <w:p>
            <w:pPr>
              <w:pStyle w:val="null3"/>
              <w:spacing w:before="240" w:after="60"/>
              <w:jc w:val="both"/>
              <w:outlineLvl w:val="5"/>
            </w:pPr>
            <w:r>
              <w:rPr>
                <w:rFonts w:ascii="仿宋_GB2312" w:hAnsi="仿宋_GB2312" w:cs="仿宋_GB2312" w:eastAsia="仿宋_GB2312"/>
                <w:sz w:val="24"/>
                <w:b/>
              </w:rPr>
              <w:t>(3)</w:t>
            </w:r>
            <w:r>
              <w:rPr>
                <w:rFonts w:ascii="仿宋_GB2312" w:hAnsi="仿宋_GB2312" w:cs="仿宋_GB2312" w:eastAsia="仿宋_GB2312"/>
                <w:sz w:val="24"/>
                <w:b/>
              </w:rPr>
              <w:t>发送接口</w:t>
            </w:r>
          </w:p>
          <w:p>
            <w:pPr>
              <w:pStyle w:val="null3"/>
              <w:ind w:firstLine="480"/>
              <w:jc w:val="both"/>
            </w:pPr>
            <w:r>
              <w:rPr>
                <w:rFonts w:ascii="仿宋_GB2312" w:hAnsi="仿宋_GB2312" w:cs="仿宋_GB2312" w:eastAsia="仿宋_GB2312"/>
                <w:sz w:val="24"/>
              </w:rPr>
              <w:t>提供主流稳定、易用、安全的</w:t>
            </w:r>
            <w:r>
              <w:rPr>
                <w:rFonts w:ascii="仿宋_GB2312" w:hAnsi="仿宋_GB2312" w:cs="仿宋_GB2312" w:eastAsia="仿宋_GB2312"/>
                <w:sz w:val="24"/>
              </w:rPr>
              <w:t>API接口（HTTP/HTTPS），支持webservice、restful、httppost等方式对接。包含详细的API文档、SDK（支持主流语言如Java,Python,PHP,Go等），接口响应时间不超过3秒/次。</w:t>
            </w:r>
          </w:p>
          <w:p>
            <w:pPr>
              <w:pStyle w:val="null3"/>
              <w:spacing w:before="240" w:after="60"/>
              <w:jc w:val="both"/>
              <w:outlineLvl w:val="5"/>
            </w:pPr>
            <w:r>
              <w:rPr>
                <w:rFonts w:ascii="仿宋_GB2312" w:hAnsi="仿宋_GB2312" w:cs="仿宋_GB2312" w:eastAsia="仿宋_GB2312"/>
                <w:sz w:val="24"/>
                <w:b/>
              </w:rPr>
              <w:t>(4)</w:t>
            </w:r>
            <w:r>
              <w:rPr>
                <w:rFonts w:ascii="仿宋_GB2312" w:hAnsi="仿宋_GB2312" w:cs="仿宋_GB2312" w:eastAsia="仿宋_GB2312"/>
                <w:sz w:val="24"/>
                <w:b/>
              </w:rPr>
              <w:t>状态报告</w:t>
            </w:r>
          </w:p>
          <w:p>
            <w:pPr>
              <w:pStyle w:val="null3"/>
              <w:ind w:firstLine="480"/>
              <w:jc w:val="both"/>
            </w:pPr>
            <w:r>
              <w:rPr>
                <w:rFonts w:ascii="仿宋_GB2312" w:hAnsi="仿宋_GB2312" w:cs="仿宋_GB2312" w:eastAsia="仿宋_GB2312"/>
                <w:sz w:val="24"/>
              </w:rPr>
              <w:t>提供实时或准实时的短信发送状态报告（成功、失败及失败原因码），支持</w:t>
            </w:r>
            <w:r>
              <w:rPr>
                <w:rFonts w:ascii="仿宋_GB2312" w:hAnsi="仿宋_GB2312" w:cs="仿宋_GB2312" w:eastAsia="仿宋_GB2312"/>
                <w:sz w:val="24"/>
              </w:rPr>
              <w:t>API推送和平台查询。</w:t>
            </w:r>
          </w:p>
          <w:p>
            <w:pPr>
              <w:pStyle w:val="null3"/>
              <w:spacing w:before="240" w:after="60"/>
              <w:jc w:val="both"/>
              <w:outlineLvl w:val="5"/>
            </w:pPr>
            <w:r>
              <w:rPr>
                <w:rFonts w:ascii="仿宋_GB2312" w:hAnsi="仿宋_GB2312" w:cs="仿宋_GB2312" w:eastAsia="仿宋_GB2312"/>
                <w:sz w:val="24"/>
                <w:b/>
              </w:rPr>
              <w:t>(5)</w:t>
            </w:r>
            <w:r>
              <w:rPr>
                <w:rFonts w:ascii="仿宋_GB2312" w:hAnsi="仿宋_GB2312" w:cs="仿宋_GB2312" w:eastAsia="仿宋_GB2312"/>
                <w:sz w:val="24"/>
                <w:b/>
              </w:rPr>
              <w:t>到达率</w:t>
            </w:r>
          </w:p>
          <w:p>
            <w:pPr>
              <w:pStyle w:val="null3"/>
              <w:ind w:firstLine="480"/>
              <w:jc w:val="both"/>
            </w:pPr>
            <w:r>
              <w:rPr>
                <w:rFonts w:ascii="仿宋_GB2312" w:hAnsi="仿宋_GB2312" w:cs="仿宋_GB2312" w:eastAsia="仿宋_GB2312"/>
                <w:sz w:val="24"/>
              </w:rPr>
              <w:t>核心指标：要求供应商承诺的月度</w:t>
            </w:r>
            <w:r>
              <w:rPr>
                <w:rFonts w:ascii="仿宋_GB2312" w:hAnsi="仿宋_GB2312" w:cs="仿宋_GB2312" w:eastAsia="仿宋_GB2312"/>
                <w:sz w:val="24"/>
              </w:rPr>
              <w:t>/季度平均到达率≥99.5%，并明确计算方法（成功接收数/成功提交数）。</w:t>
            </w:r>
          </w:p>
          <w:p>
            <w:pPr>
              <w:pStyle w:val="null3"/>
              <w:spacing w:before="240" w:after="60"/>
              <w:jc w:val="both"/>
              <w:outlineLvl w:val="5"/>
            </w:pPr>
            <w:r>
              <w:rPr>
                <w:rFonts w:ascii="仿宋_GB2312" w:hAnsi="仿宋_GB2312" w:cs="仿宋_GB2312" w:eastAsia="仿宋_GB2312"/>
                <w:sz w:val="24"/>
                <w:b/>
              </w:rPr>
              <w:t>(6)</w:t>
            </w:r>
            <w:r>
              <w:rPr>
                <w:rFonts w:ascii="仿宋_GB2312" w:hAnsi="仿宋_GB2312" w:cs="仿宋_GB2312" w:eastAsia="仿宋_GB2312"/>
                <w:sz w:val="24"/>
                <w:b/>
              </w:rPr>
              <w:t>发送速度</w:t>
            </w:r>
          </w:p>
          <w:p>
            <w:pPr>
              <w:pStyle w:val="null3"/>
              <w:ind w:firstLine="480"/>
              <w:jc w:val="both"/>
            </w:pPr>
            <w:r>
              <w:rPr>
                <w:rFonts w:ascii="仿宋_GB2312" w:hAnsi="仿宋_GB2312" w:cs="仿宋_GB2312" w:eastAsia="仿宋_GB2312"/>
                <w:sz w:val="24"/>
              </w:rPr>
              <w:t>平均延迟：从</w:t>
            </w:r>
            <w:r>
              <w:rPr>
                <w:rFonts w:ascii="仿宋_GB2312" w:hAnsi="仿宋_GB2312" w:cs="仿宋_GB2312" w:eastAsia="仿宋_GB2312"/>
                <w:sz w:val="24"/>
              </w:rPr>
              <w:t>API请求提交到用户手机收到短信的平均时间≤3秒。</w:t>
            </w:r>
          </w:p>
          <w:p>
            <w:pPr>
              <w:pStyle w:val="null3"/>
              <w:ind w:firstLine="480"/>
              <w:jc w:val="both"/>
            </w:pPr>
            <w:r>
              <w:rPr>
                <w:rFonts w:ascii="仿宋_GB2312" w:hAnsi="仿宋_GB2312" w:cs="仿宋_GB2312" w:eastAsia="仿宋_GB2312"/>
                <w:sz w:val="24"/>
              </w:rPr>
              <w:t>峰值并发能力：系统能稳定处理的最高每秒查询率，需满足采购方业务高峰期的需求</w:t>
            </w:r>
            <w:r>
              <w:rPr>
                <w:rFonts w:ascii="仿宋_GB2312" w:hAnsi="仿宋_GB2312" w:cs="仿宋_GB2312" w:eastAsia="仿宋_GB2312"/>
                <w:sz w:val="24"/>
              </w:rPr>
              <w:t>≥500QPS。</w:t>
            </w:r>
          </w:p>
          <w:p>
            <w:pPr>
              <w:pStyle w:val="null3"/>
              <w:spacing w:before="240" w:after="60"/>
              <w:jc w:val="both"/>
              <w:outlineLvl w:val="5"/>
            </w:pPr>
            <w:r>
              <w:rPr>
                <w:rFonts w:ascii="仿宋_GB2312" w:hAnsi="仿宋_GB2312" w:cs="仿宋_GB2312" w:eastAsia="仿宋_GB2312"/>
                <w:sz w:val="24"/>
                <w:b/>
              </w:rPr>
              <w:t>(7)</w:t>
            </w:r>
            <w:r>
              <w:rPr>
                <w:rFonts w:ascii="仿宋_GB2312" w:hAnsi="仿宋_GB2312" w:cs="仿宋_GB2312" w:eastAsia="仿宋_GB2312"/>
                <w:sz w:val="24"/>
                <w:b/>
              </w:rPr>
              <w:t>服务可用性</w:t>
            </w:r>
          </w:p>
          <w:p>
            <w:pPr>
              <w:pStyle w:val="null3"/>
              <w:ind w:firstLine="480"/>
              <w:jc w:val="both"/>
            </w:pPr>
            <w:r>
              <w:rPr>
                <w:rFonts w:ascii="仿宋_GB2312" w:hAnsi="仿宋_GB2312" w:cs="仿宋_GB2312" w:eastAsia="仿宋_GB2312"/>
                <w:sz w:val="24"/>
              </w:rPr>
              <w:t>供应商应保证年度服务可用性</w:t>
            </w:r>
            <w:r>
              <w:rPr>
                <w:rFonts w:ascii="仿宋_GB2312" w:hAnsi="仿宋_GB2312" w:cs="仿宋_GB2312" w:eastAsia="仿宋_GB2312"/>
                <w:sz w:val="24"/>
              </w:rPr>
              <w:t>≥99.9%。可用性计算公式（服务可用时间/(服务可用时间+服务不可用时间)）及“服务不可用”的定义：连续5分钟API平均错误率＞1%。</w:t>
            </w:r>
          </w:p>
          <w:p>
            <w:pPr>
              <w:pStyle w:val="null3"/>
              <w:spacing w:before="285" w:after="285"/>
              <w:jc w:val="both"/>
              <w:outlineLvl w:val="4"/>
            </w:pPr>
            <w:r>
              <w:rPr>
                <w:rFonts w:ascii="仿宋_GB2312" w:hAnsi="仿宋_GB2312" w:cs="仿宋_GB2312" w:eastAsia="仿宋_GB2312"/>
                <w:sz w:val="24"/>
                <w:b/>
              </w:rPr>
              <w:t>4.</w:t>
            </w:r>
            <w:r>
              <w:rPr>
                <w:rFonts w:ascii="仿宋_GB2312" w:hAnsi="仿宋_GB2312" w:cs="仿宋_GB2312" w:eastAsia="仿宋_GB2312"/>
                <w:sz w:val="24"/>
                <w:b/>
              </w:rPr>
              <w:t>安全与风控要求</w:t>
            </w:r>
          </w:p>
          <w:p>
            <w:pPr>
              <w:pStyle w:val="null3"/>
              <w:spacing w:before="240" w:after="60"/>
              <w:jc w:val="both"/>
              <w:outlineLvl w:val="5"/>
            </w:pPr>
            <w:r>
              <w:rPr>
                <w:rFonts w:ascii="仿宋_GB2312" w:hAnsi="仿宋_GB2312" w:cs="仿宋_GB2312" w:eastAsia="仿宋_GB2312"/>
                <w:sz w:val="24"/>
                <w:b/>
              </w:rPr>
              <w:t>(1)</w:t>
            </w:r>
            <w:r>
              <w:rPr>
                <w:rFonts w:ascii="仿宋_GB2312" w:hAnsi="仿宋_GB2312" w:cs="仿宋_GB2312" w:eastAsia="仿宋_GB2312"/>
                <w:sz w:val="24"/>
                <w:b/>
              </w:rPr>
              <w:t>防攻击与防刷</w:t>
            </w:r>
          </w:p>
          <w:p>
            <w:pPr>
              <w:pStyle w:val="null3"/>
              <w:ind w:firstLine="480"/>
              <w:jc w:val="both"/>
            </w:pPr>
            <w:r>
              <w:rPr>
                <w:rFonts w:ascii="仿宋_GB2312" w:hAnsi="仿宋_GB2312" w:cs="仿宋_GB2312" w:eastAsia="仿宋_GB2312"/>
                <w:sz w:val="24"/>
              </w:rPr>
              <w:t>提供完善的恶意请求防护机制（</w:t>
            </w:r>
            <w:r>
              <w:rPr>
                <w:rFonts w:ascii="仿宋_GB2312" w:hAnsi="仿宋_GB2312" w:cs="仿宋_GB2312" w:eastAsia="仿宋_GB2312"/>
                <w:sz w:val="24"/>
              </w:rPr>
              <w:t>IP限频、号码限频、账号限频、验证码等）。</w:t>
            </w:r>
          </w:p>
          <w:p>
            <w:pPr>
              <w:pStyle w:val="null3"/>
              <w:ind w:firstLine="480"/>
              <w:jc w:val="both"/>
            </w:pPr>
            <w:r>
              <w:rPr>
                <w:rFonts w:ascii="仿宋_GB2312" w:hAnsi="仿宋_GB2312" w:cs="仿宋_GB2312" w:eastAsia="仿宋_GB2312"/>
                <w:sz w:val="24"/>
              </w:rPr>
              <w:t>支持基于业务场景的自定义频率限制策略配置。</w:t>
            </w:r>
          </w:p>
          <w:p>
            <w:pPr>
              <w:pStyle w:val="null3"/>
              <w:spacing w:before="240" w:after="60"/>
              <w:jc w:val="both"/>
              <w:outlineLvl w:val="5"/>
            </w:pPr>
            <w:r>
              <w:rPr>
                <w:rFonts w:ascii="仿宋_GB2312" w:hAnsi="仿宋_GB2312" w:cs="仿宋_GB2312" w:eastAsia="仿宋_GB2312"/>
                <w:sz w:val="24"/>
                <w:b/>
              </w:rPr>
              <w:t>(2)</w:t>
            </w:r>
            <w:r>
              <w:rPr>
                <w:rFonts w:ascii="仿宋_GB2312" w:hAnsi="仿宋_GB2312" w:cs="仿宋_GB2312" w:eastAsia="仿宋_GB2312"/>
                <w:sz w:val="24"/>
                <w:b/>
              </w:rPr>
              <w:t>数据安全与隐私</w:t>
            </w:r>
          </w:p>
          <w:p>
            <w:pPr>
              <w:pStyle w:val="null3"/>
              <w:ind w:firstLine="480"/>
              <w:jc w:val="both"/>
            </w:pPr>
            <w:r>
              <w:rPr>
                <w:rFonts w:ascii="仿宋_GB2312" w:hAnsi="仿宋_GB2312" w:cs="仿宋_GB2312" w:eastAsia="仿宋_GB2312"/>
                <w:sz w:val="24"/>
              </w:rPr>
              <w:t>Ø</w:t>
            </w:r>
            <w:r>
              <w:rPr>
                <w:rFonts w:ascii="仿宋_GB2312" w:hAnsi="仿宋_GB2312" w:cs="仿宋_GB2312" w:eastAsia="仿宋_GB2312"/>
                <w:sz w:val="24"/>
              </w:rPr>
              <w:t>严格遵守《个人信息保护法》、《数据安全法》及《通信短信息服务管理规定》。</w:t>
            </w:r>
          </w:p>
          <w:p>
            <w:pPr>
              <w:pStyle w:val="null3"/>
              <w:ind w:firstLine="480"/>
              <w:jc w:val="both"/>
            </w:pPr>
            <w:r>
              <w:rPr>
                <w:rFonts w:ascii="仿宋_GB2312" w:hAnsi="仿宋_GB2312" w:cs="仿宋_GB2312" w:eastAsia="仿宋_GB2312"/>
                <w:sz w:val="24"/>
              </w:rPr>
              <w:t>Ø</w:t>
            </w:r>
            <w:r>
              <w:rPr>
                <w:rFonts w:ascii="仿宋_GB2312" w:hAnsi="仿宋_GB2312" w:cs="仿宋_GB2312" w:eastAsia="仿宋_GB2312"/>
                <w:sz w:val="24"/>
              </w:rPr>
              <w:t>用户手机号码等敏感信息需加密传输和存储。</w:t>
            </w:r>
          </w:p>
          <w:p>
            <w:pPr>
              <w:pStyle w:val="null3"/>
              <w:ind w:firstLine="480"/>
              <w:jc w:val="both"/>
            </w:pPr>
            <w:r>
              <w:rPr>
                <w:rFonts w:ascii="仿宋_GB2312" w:hAnsi="仿宋_GB2312" w:cs="仿宋_GB2312" w:eastAsia="仿宋_GB2312"/>
                <w:sz w:val="24"/>
              </w:rPr>
              <w:t>Ø</w:t>
            </w:r>
            <w:r>
              <w:rPr>
                <w:rFonts w:ascii="仿宋_GB2312" w:hAnsi="仿宋_GB2312" w:cs="仿宋_GB2312" w:eastAsia="仿宋_GB2312"/>
                <w:sz w:val="24"/>
              </w:rPr>
              <w:t>供应商需提供数据安全管理制度和隐私政策。</w:t>
            </w:r>
          </w:p>
          <w:p>
            <w:pPr>
              <w:pStyle w:val="null3"/>
              <w:ind w:firstLine="480"/>
              <w:jc w:val="both"/>
            </w:pPr>
            <w:r>
              <w:rPr>
                <w:rFonts w:ascii="仿宋_GB2312" w:hAnsi="仿宋_GB2312" w:cs="仿宋_GB2312" w:eastAsia="仿宋_GB2312"/>
                <w:sz w:val="24"/>
              </w:rPr>
              <w:t>Ø</w:t>
            </w:r>
            <w:r>
              <w:rPr>
                <w:rFonts w:ascii="仿宋_GB2312" w:hAnsi="仿宋_GB2312" w:cs="仿宋_GB2312" w:eastAsia="仿宋_GB2312"/>
                <w:sz w:val="24"/>
              </w:rPr>
              <w:t>服务终止后，明确用户数据的删除或匿名化处理流程和时间要求。</w:t>
            </w:r>
          </w:p>
          <w:p>
            <w:pPr>
              <w:pStyle w:val="null3"/>
              <w:ind w:firstLine="480"/>
              <w:jc w:val="both"/>
            </w:pPr>
            <w:r>
              <w:rPr>
                <w:rFonts w:ascii="仿宋_GB2312" w:hAnsi="仿宋_GB2312" w:cs="仿宋_GB2312" w:eastAsia="仿宋_GB2312"/>
                <w:sz w:val="24"/>
              </w:rPr>
              <w:t>Ø</w:t>
            </w:r>
            <w:r>
              <w:rPr>
                <w:rFonts w:ascii="仿宋_GB2312" w:hAnsi="仿宋_GB2312" w:cs="仿宋_GB2312" w:eastAsia="仿宋_GB2312"/>
                <w:sz w:val="24"/>
              </w:rPr>
              <w:t>不得将采购方数据用于任何其他目的。</w:t>
            </w:r>
          </w:p>
          <w:p>
            <w:pPr>
              <w:pStyle w:val="null3"/>
              <w:spacing w:before="240" w:after="60"/>
              <w:jc w:val="both"/>
              <w:outlineLvl w:val="5"/>
            </w:pPr>
            <w:r>
              <w:rPr>
                <w:rFonts w:ascii="仿宋_GB2312" w:hAnsi="仿宋_GB2312" w:cs="仿宋_GB2312" w:eastAsia="仿宋_GB2312"/>
                <w:sz w:val="24"/>
                <w:b/>
              </w:rPr>
              <w:t>(3)</w:t>
            </w:r>
            <w:r>
              <w:rPr>
                <w:rFonts w:ascii="仿宋_GB2312" w:hAnsi="仿宋_GB2312" w:cs="仿宋_GB2312" w:eastAsia="仿宋_GB2312"/>
                <w:sz w:val="24"/>
                <w:b/>
              </w:rPr>
              <w:t>内容安全</w:t>
            </w:r>
          </w:p>
          <w:p>
            <w:pPr>
              <w:pStyle w:val="null3"/>
              <w:ind w:firstLine="480"/>
              <w:jc w:val="both"/>
            </w:pPr>
            <w:r>
              <w:rPr>
                <w:rFonts w:ascii="仿宋_GB2312" w:hAnsi="仿宋_GB2312" w:cs="仿宋_GB2312" w:eastAsia="仿宋_GB2312"/>
                <w:sz w:val="24"/>
              </w:rPr>
              <w:t>根据国家政策要求，依据《中华人民共和国电信条例》及国家通信短信管理有关规定，平台具备敏感词过滤、黑名单与模板短信功能，可减少违规短信产生的风险。确保短信内容符合国家法律法规和运营商要求，无违法违规信息。具备敏感词过滤机制。</w:t>
            </w:r>
          </w:p>
          <w:p>
            <w:pPr>
              <w:pStyle w:val="null3"/>
              <w:spacing w:before="285" w:after="285"/>
              <w:jc w:val="both"/>
              <w:outlineLvl w:val="4"/>
            </w:pPr>
            <w:r>
              <w:rPr>
                <w:rFonts w:ascii="仿宋_GB2312" w:hAnsi="仿宋_GB2312" w:cs="仿宋_GB2312" w:eastAsia="仿宋_GB2312"/>
                <w:sz w:val="24"/>
                <w:b/>
              </w:rPr>
              <w:t>5.</w:t>
            </w:r>
            <w:r>
              <w:rPr>
                <w:rFonts w:ascii="仿宋_GB2312" w:hAnsi="仿宋_GB2312" w:cs="仿宋_GB2312" w:eastAsia="仿宋_GB2312"/>
                <w:sz w:val="24"/>
                <w:b/>
              </w:rPr>
              <w:t>运营报告分析服务</w:t>
            </w:r>
          </w:p>
          <w:p>
            <w:pPr>
              <w:pStyle w:val="null3"/>
              <w:spacing w:before="240" w:after="60"/>
              <w:jc w:val="both"/>
              <w:outlineLvl w:val="5"/>
            </w:pPr>
            <w:r>
              <w:rPr>
                <w:rFonts w:ascii="仿宋_GB2312" w:hAnsi="仿宋_GB2312" w:cs="仿宋_GB2312" w:eastAsia="仿宋_GB2312"/>
                <w:sz w:val="24"/>
                <w:b/>
              </w:rPr>
              <w:t>(1)</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为提升服务效能，运营人员需对陕西省政务服务网登录、办件、预约等短信发送功能及服务情况做常态化服务分析动作，具体包含短信发送情况和运营商短信计费账单分析报告。</w:t>
            </w:r>
          </w:p>
          <w:p>
            <w:pPr>
              <w:pStyle w:val="null3"/>
              <w:spacing w:before="240" w:after="60"/>
              <w:jc w:val="both"/>
              <w:outlineLvl w:val="5"/>
            </w:pPr>
            <w:r>
              <w:rPr>
                <w:rFonts w:ascii="仿宋_GB2312" w:hAnsi="仿宋_GB2312" w:cs="仿宋_GB2312" w:eastAsia="仿宋_GB2312"/>
                <w:sz w:val="24"/>
                <w:b/>
              </w:rPr>
              <w:t>(2)</w:t>
            </w:r>
            <w:r>
              <w:rPr>
                <w:rFonts w:ascii="仿宋_GB2312" w:hAnsi="仿宋_GB2312" w:cs="仿宋_GB2312" w:eastAsia="仿宋_GB2312"/>
                <w:sz w:val="24"/>
                <w:b/>
              </w:rPr>
              <w:t>服务要求</w:t>
            </w:r>
          </w:p>
          <w:p>
            <w:pPr>
              <w:pStyle w:val="null3"/>
              <w:ind w:firstLine="480"/>
              <w:jc w:val="both"/>
            </w:pPr>
            <w:r>
              <w:rPr>
                <w:rFonts w:ascii="仿宋_GB2312" w:hAnsi="仿宋_GB2312" w:cs="仿宋_GB2312" w:eastAsia="仿宋_GB2312"/>
                <w:sz w:val="24"/>
              </w:rPr>
              <w:t>全面性：供应商需对各通道的短信发送总量、成功数量、失败数量、费用账单进行全面采集和分析，根据需要对各业务系统发送量、发送失败原因进行统计。</w:t>
            </w:r>
          </w:p>
          <w:p>
            <w:pPr>
              <w:pStyle w:val="null3"/>
              <w:ind w:firstLine="480"/>
              <w:jc w:val="both"/>
            </w:pPr>
            <w:r>
              <w:rPr>
                <w:rFonts w:ascii="仿宋_GB2312" w:hAnsi="仿宋_GB2312" w:cs="仿宋_GB2312" w:eastAsia="仿宋_GB2312"/>
                <w:sz w:val="24"/>
              </w:rPr>
              <w:t>友好性：数据经过分析后，使用合理的图表形式进行友好展示，帮助管理人员了解短信各通道使用情况及费用支出分布，以指导后续工作开展</w:t>
            </w:r>
          </w:p>
          <w:p>
            <w:pPr>
              <w:pStyle w:val="null3"/>
              <w:spacing w:before="240" w:after="60"/>
              <w:jc w:val="both"/>
              <w:outlineLvl w:val="5"/>
            </w:pPr>
            <w:r>
              <w:rPr>
                <w:rFonts w:ascii="仿宋_GB2312" w:hAnsi="仿宋_GB2312" w:cs="仿宋_GB2312" w:eastAsia="仿宋_GB2312"/>
                <w:sz w:val="24"/>
                <w:b/>
              </w:rPr>
              <w:t>(3)</w:t>
            </w:r>
            <w:r>
              <w:rPr>
                <w:rFonts w:ascii="仿宋_GB2312" w:hAnsi="仿宋_GB2312" w:cs="仿宋_GB2312" w:eastAsia="仿宋_GB2312"/>
                <w:sz w:val="24"/>
                <w:b/>
              </w:rPr>
              <w:t>实施安全要求</w:t>
            </w:r>
          </w:p>
          <w:p>
            <w:pPr>
              <w:pStyle w:val="null3"/>
              <w:ind w:firstLine="480"/>
              <w:jc w:val="both"/>
            </w:pPr>
            <w:r>
              <w:rPr>
                <w:rFonts w:ascii="仿宋_GB2312" w:hAnsi="仿宋_GB2312" w:cs="仿宋_GB2312" w:eastAsia="仿宋_GB2312"/>
                <w:sz w:val="24"/>
              </w:rPr>
              <w:t>供应商应当建立与新服务模式匹配的多层次、全方位、一体化的内控合规管理体系，构建有效、严格、分层的实施交付风险控制体系和退出机制，看清数据安全风险、管好内部数据违规、防住外部威胁。</w:t>
            </w:r>
          </w:p>
          <w:p>
            <w:pPr>
              <w:pStyle w:val="null3"/>
              <w:ind w:firstLine="480"/>
              <w:jc w:val="both"/>
            </w:pPr>
            <w:r>
              <w:rPr>
                <w:rFonts w:ascii="仿宋_GB2312" w:hAnsi="仿宋_GB2312" w:cs="仿宋_GB2312" w:eastAsia="仿宋_GB2312"/>
                <w:sz w:val="24"/>
              </w:rPr>
              <w:t>供应商根据有关要求在采购人提供的基础环境上对应用系统和重要数据进行备份、恢复操作。</w:t>
            </w:r>
          </w:p>
          <w:p>
            <w:pPr>
              <w:pStyle w:val="null3"/>
              <w:ind w:firstLine="480"/>
              <w:jc w:val="both"/>
            </w:pPr>
            <w:r>
              <w:rPr>
                <w:rFonts w:ascii="仿宋_GB2312" w:hAnsi="仿宋_GB2312" w:cs="仿宋_GB2312" w:eastAsia="仿宋_GB2312"/>
                <w:sz w:val="24"/>
              </w:rPr>
              <w:t>供应商根据采购人所提供的网络安全等级保护测评、密码应用安全性评估及项目服务要求配合相关服务工作，并实质性响应并进行优化提升。</w:t>
            </w:r>
          </w:p>
          <w:p>
            <w:pPr>
              <w:pStyle w:val="null3"/>
              <w:spacing w:before="240" w:after="60"/>
              <w:jc w:val="both"/>
              <w:outlineLvl w:val="5"/>
            </w:pPr>
            <w:r>
              <w:rPr>
                <w:rFonts w:ascii="仿宋_GB2312" w:hAnsi="仿宋_GB2312" w:cs="仿宋_GB2312" w:eastAsia="仿宋_GB2312"/>
                <w:sz w:val="24"/>
                <w:b/>
              </w:rPr>
              <w:t>(4)</w:t>
            </w:r>
            <w:r>
              <w:rPr>
                <w:rFonts w:ascii="仿宋_GB2312" w:hAnsi="仿宋_GB2312" w:cs="仿宋_GB2312" w:eastAsia="仿宋_GB2312"/>
                <w:sz w:val="24"/>
                <w:b/>
              </w:rPr>
              <w:t>实施质量要求</w:t>
            </w:r>
          </w:p>
          <w:p>
            <w:pPr>
              <w:pStyle w:val="null3"/>
              <w:ind w:firstLine="480"/>
              <w:jc w:val="both"/>
            </w:pPr>
            <w:r>
              <w:rPr>
                <w:rFonts w:ascii="仿宋_GB2312" w:hAnsi="仿宋_GB2312" w:cs="仿宋_GB2312" w:eastAsia="仿宋_GB2312"/>
                <w:sz w:val="24"/>
              </w:rPr>
              <w:t>供应商应当建立实施质量相关管理制度，对实施过程、实施交付物等方面开展实施质量考核及全过程管理。采购人及最终用户对中标人的交付实施工作进行质量评估，评估结果作为工具交付验收、最终验收的重要依据。</w:t>
            </w:r>
          </w:p>
          <w:p>
            <w:pPr>
              <w:pStyle w:val="null3"/>
              <w:spacing w:before="240" w:after="60"/>
              <w:jc w:val="both"/>
              <w:outlineLvl w:val="5"/>
            </w:pPr>
            <w:r>
              <w:rPr>
                <w:rFonts w:ascii="仿宋_GB2312" w:hAnsi="仿宋_GB2312" w:cs="仿宋_GB2312" w:eastAsia="仿宋_GB2312"/>
                <w:sz w:val="24"/>
                <w:b/>
              </w:rPr>
              <w:t>(5)</w:t>
            </w:r>
            <w:r>
              <w:rPr>
                <w:rFonts w:ascii="仿宋_GB2312" w:hAnsi="仿宋_GB2312" w:cs="仿宋_GB2312" w:eastAsia="仿宋_GB2312"/>
                <w:sz w:val="24"/>
                <w:b/>
              </w:rPr>
              <w:t>服务响应时间要求</w:t>
            </w:r>
          </w:p>
          <w:p>
            <w:pPr>
              <w:pStyle w:val="null3"/>
              <w:ind w:firstLine="480"/>
              <w:jc w:val="both"/>
            </w:pPr>
            <w:r>
              <w:rPr>
                <w:rFonts w:ascii="仿宋_GB2312" w:hAnsi="仿宋_GB2312" w:cs="仿宋_GB2312" w:eastAsia="仿宋_GB2312"/>
                <w:sz w:val="24"/>
              </w:rPr>
              <w:t>供应商须建立完善的服务质量管理体系，对服务过程和结果进行监控和评估。服务响应时间应满足以下要求：一般问题在</w:t>
            </w:r>
            <w:r>
              <w:rPr>
                <w:rFonts w:ascii="仿宋_GB2312" w:hAnsi="仿宋_GB2312" w:cs="仿宋_GB2312" w:eastAsia="仿宋_GB2312"/>
                <w:sz w:val="24"/>
              </w:rPr>
              <w:t>2小时内响应，重大问题在1小时内响应，问题响应率应达到100%，用户满意度应达到90%以上。</w:t>
            </w:r>
          </w:p>
          <w:p>
            <w:pPr>
              <w:pStyle w:val="null3"/>
              <w:ind w:firstLine="480"/>
              <w:jc w:val="both"/>
            </w:pPr>
            <w:r>
              <w:rPr>
                <w:rFonts w:ascii="仿宋_GB2312" w:hAnsi="仿宋_GB2312" w:cs="仿宋_GB2312" w:eastAsia="仿宋_GB2312"/>
                <w:sz w:val="24"/>
              </w:rPr>
              <w:t>具体响应要求如下：</w:t>
            </w:r>
          </w:p>
          <w:p>
            <w:pPr>
              <w:pStyle w:val="null3"/>
              <w:ind w:firstLine="480"/>
              <w:jc w:val="both"/>
            </w:pPr>
            <w:r>
              <w:rPr>
                <w:rFonts w:ascii="仿宋_GB2312" w:hAnsi="仿宋_GB2312" w:cs="仿宋_GB2312" w:eastAsia="仿宋_GB2312"/>
                <w:sz w:val="24"/>
              </w:rPr>
              <w:t>供应商应坚持主动预防、迅速高效的原则，紧密结合实际情况，精心编制并持续完善应急响应方案，包括但不限于</w:t>
            </w:r>
            <w:r>
              <w:rPr>
                <w:rFonts w:ascii="仿宋_GB2312" w:hAnsi="仿宋_GB2312" w:cs="仿宋_GB2312" w:eastAsia="仿宋_GB2312"/>
                <w:sz w:val="24"/>
              </w:rPr>
              <w:t>7×24小时的故障接收渠道、处置流程、响应时间、实施人员和工具配备等，按需组织实施应急演练。</w:t>
            </w:r>
          </w:p>
          <w:p>
            <w:pPr>
              <w:pStyle w:val="null3"/>
              <w:spacing w:before="240" w:after="60"/>
              <w:jc w:val="both"/>
              <w:outlineLvl w:val="5"/>
            </w:pPr>
            <w:r>
              <w:rPr>
                <w:rFonts w:ascii="仿宋_GB2312" w:hAnsi="仿宋_GB2312" w:cs="仿宋_GB2312" w:eastAsia="仿宋_GB2312"/>
                <w:sz w:val="24"/>
                <w:b/>
              </w:rPr>
              <w:t>(6)</w:t>
            </w:r>
            <w:r>
              <w:rPr>
                <w:rFonts w:ascii="仿宋_GB2312" w:hAnsi="仿宋_GB2312" w:cs="仿宋_GB2312" w:eastAsia="仿宋_GB2312"/>
                <w:sz w:val="24"/>
                <w:b/>
              </w:rPr>
              <w:t>管理监控与统计</w:t>
            </w:r>
          </w:p>
          <w:p>
            <w:pPr>
              <w:pStyle w:val="null3"/>
              <w:ind w:firstLine="480"/>
              <w:jc w:val="both"/>
            </w:pPr>
            <w:r>
              <w:rPr>
                <w:rFonts w:ascii="仿宋_GB2312" w:hAnsi="仿宋_GB2312" w:cs="仿宋_GB2312" w:eastAsia="仿宋_GB2312"/>
                <w:sz w:val="24"/>
              </w:rPr>
              <w:t>提供功能完善、操作便捷的</w:t>
            </w:r>
            <w:r>
              <w:rPr>
                <w:rFonts w:ascii="仿宋_GB2312" w:hAnsi="仿宋_GB2312" w:cs="仿宋_GB2312" w:eastAsia="仿宋_GB2312"/>
                <w:sz w:val="24"/>
              </w:rPr>
              <w:t>Web管理后台。</w:t>
            </w:r>
          </w:p>
          <w:p>
            <w:pPr>
              <w:pStyle w:val="null3"/>
              <w:ind w:firstLine="480"/>
              <w:jc w:val="both"/>
            </w:pPr>
            <w:r>
              <w:rPr>
                <w:rFonts w:ascii="仿宋_GB2312" w:hAnsi="仿宋_GB2312" w:cs="仿宋_GB2312" w:eastAsia="仿宋_GB2312"/>
                <w:sz w:val="24"/>
              </w:rPr>
              <w:t>支持：账户管理、子账户管理（权限分配）。</w:t>
            </w:r>
          </w:p>
          <w:p>
            <w:pPr>
              <w:pStyle w:val="null3"/>
              <w:ind w:firstLine="480"/>
              <w:jc w:val="both"/>
            </w:pPr>
            <w:r>
              <w:rPr>
                <w:rFonts w:ascii="仿宋_GB2312" w:hAnsi="仿宋_GB2312" w:cs="仿宋_GB2312" w:eastAsia="仿宋_GB2312"/>
                <w:sz w:val="24"/>
              </w:rPr>
              <w:t>短信模板管理（申请、审核状态查看）。</w:t>
            </w:r>
          </w:p>
          <w:p>
            <w:pPr>
              <w:pStyle w:val="null3"/>
              <w:ind w:firstLine="480"/>
              <w:jc w:val="both"/>
            </w:pPr>
            <w:r>
              <w:rPr>
                <w:rFonts w:ascii="仿宋_GB2312" w:hAnsi="仿宋_GB2312" w:cs="仿宋_GB2312" w:eastAsia="仿宋_GB2312"/>
                <w:sz w:val="24"/>
              </w:rPr>
              <w:t>签名管理（申请、配置）。</w:t>
            </w:r>
          </w:p>
          <w:p>
            <w:pPr>
              <w:pStyle w:val="null3"/>
              <w:ind w:firstLine="480"/>
              <w:jc w:val="both"/>
            </w:pPr>
            <w:r>
              <w:rPr>
                <w:rFonts w:ascii="仿宋_GB2312" w:hAnsi="仿宋_GB2312" w:cs="仿宋_GB2312" w:eastAsia="仿宋_GB2312"/>
                <w:sz w:val="24"/>
              </w:rPr>
              <w:t>实时发送监控（发送量、成功率、实时状态）。</w:t>
            </w:r>
          </w:p>
          <w:p>
            <w:pPr>
              <w:pStyle w:val="null3"/>
              <w:ind w:firstLine="480"/>
              <w:jc w:val="both"/>
            </w:pPr>
            <w:r>
              <w:rPr>
                <w:rFonts w:ascii="仿宋_GB2312" w:hAnsi="仿宋_GB2312" w:cs="仿宋_GB2312" w:eastAsia="仿宋_GB2312"/>
                <w:sz w:val="24"/>
              </w:rPr>
              <w:t>详尽的统计分析报表（按时间、业务线、通道、地区、状态等多维度分析发送量、到达率、成功率、失败原因）。</w:t>
            </w:r>
          </w:p>
          <w:p>
            <w:pPr>
              <w:pStyle w:val="null3"/>
              <w:ind w:firstLine="480"/>
              <w:jc w:val="both"/>
            </w:pPr>
            <w:r>
              <w:rPr>
                <w:rFonts w:ascii="仿宋_GB2312" w:hAnsi="仿宋_GB2312" w:cs="仿宋_GB2312" w:eastAsia="仿宋_GB2312"/>
                <w:sz w:val="24"/>
              </w:rPr>
              <w:t>报警设置（发送异常、到达率</w:t>
            </w:r>
            <w:r>
              <w:rPr>
                <w:rFonts w:ascii="仿宋_GB2312" w:hAnsi="仿宋_GB2312" w:cs="仿宋_GB2312" w:eastAsia="仿宋_GB2312"/>
                <w:sz w:val="24"/>
              </w:rPr>
              <w:t>/成功率低于阈值等）。</w:t>
            </w:r>
          </w:p>
          <w:p>
            <w:pPr>
              <w:pStyle w:val="null3"/>
              <w:spacing w:before="285" w:after="285"/>
              <w:jc w:val="both"/>
              <w:outlineLvl w:val="4"/>
            </w:pPr>
            <w:r>
              <w:rPr>
                <w:rFonts w:ascii="仿宋_GB2312" w:hAnsi="仿宋_GB2312" w:cs="仿宋_GB2312" w:eastAsia="仿宋_GB2312"/>
                <w:sz w:val="24"/>
                <w:b/>
              </w:rPr>
              <w:t>6.</w:t>
            </w:r>
            <w:r>
              <w:rPr>
                <w:rFonts w:ascii="仿宋_GB2312" w:hAnsi="仿宋_GB2312" w:cs="仿宋_GB2312" w:eastAsia="仿宋_GB2312"/>
                <w:sz w:val="24"/>
                <w:b/>
              </w:rPr>
              <w:t>服务人员要求</w:t>
            </w:r>
          </w:p>
          <w:p>
            <w:pPr>
              <w:pStyle w:val="null3"/>
              <w:ind w:firstLine="480"/>
              <w:jc w:val="both"/>
            </w:pPr>
            <w:r>
              <w:rPr>
                <w:rFonts w:ascii="仿宋_GB2312" w:hAnsi="仿宋_GB2312" w:cs="仿宋_GB2312" w:eastAsia="仿宋_GB2312"/>
                <w:sz w:val="24"/>
              </w:rPr>
              <w:t>本服务项目需提供不少于</w:t>
            </w:r>
            <w:r>
              <w:rPr>
                <w:rFonts w:ascii="仿宋_GB2312" w:hAnsi="仿宋_GB2312" w:cs="仿宋_GB2312" w:eastAsia="仿宋_GB2312"/>
                <w:sz w:val="24"/>
              </w:rPr>
              <w:t>6人的服务支撑团队，其中包含项目经理1人，远程在线支撑人员5人。提供7×24小时在线技术支持以保障应用系统正常运行。</w:t>
            </w:r>
          </w:p>
          <w:p>
            <w:pPr>
              <w:pStyle w:val="null3"/>
              <w:ind w:firstLine="480"/>
              <w:jc w:val="both"/>
            </w:pPr>
            <w:r>
              <w:rPr>
                <w:rFonts w:ascii="仿宋_GB2312" w:hAnsi="仿宋_GB2312" w:cs="仿宋_GB2312" w:eastAsia="仿宋_GB2312"/>
                <w:sz w:val="24"/>
              </w:rPr>
              <w:t>支撑人员服务内容</w:t>
            </w:r>
          </w:p>
          <w:p>
            <w:pPr>
              <w:pStyle w:val="null3"/>
              <w:ind w:firstLine="480"/>
              <w:jc w:val="both"/>
            </w:pPr>
            <w:r>
              <w:rPr>
                <w:rFonts w:ascii="仿宋_GB2312" w:hAnsi="仿宋_GB2312" w:cs="仿宋_GB2312" w:eastAsia="仿宋_GB2312"/>
                <w:sz w:val="24"/>
              </w:rPr>
              <w:t>Ø</w:t>
            </w:r>
            <w:r>
              <w:rPr>
                <w:rFonts w:ascii="仿宋_GB2312" w:hAnsi="仿宋_GB2312" w:cs="仿宋_GB2312" w:eastAsia="仿宋_GB2312"/>
                <w:sz w:val="24"/>
              </w:rPr>
              <w:t>系统监控：持续监控服务器、网络设备和应用的性能，确保系统稳定运行。</w:t>
            </w:r>
          </w:p>
          <w:p>
            <w:pPr>
              <w:pStyle w:val="null3"/>
              <w:ind w:firstLine="480"/>
              <w:jc w:val="both"/>
            </w:pPr>
            <w:r>
              <w:rPr>
                <w:rFonts w:ascii="仿宋_GB2312" w:hAnsi="仿宋_GB2312" w:cs="仿宋_GB2312" w:eastAsia="仿宋_GB2312"/>
                <w:sz w:val="24"/>
              </w:rPr>
              <w:t>Ø</w:t>
            </w:r>
            <w:r>
              <w:rPr>
                <w:rFonts w:ascii="仿宋_GB2312" w:hAnsi="仿宋_GB2312" w:cs="仿宋_GB2312" w:eastAsia="仿宋_GB2312"/>
                <w:sz w:val="24"/>
              </w:rPr>
              <w:t>故障处理：快速响应并解决系统出现的故障，包括硬件故障、软件故障以及网络问题。</w:t>
            </w:r>
          </w:p>
          <w:p>
            <w:pPr>
              <w:pStyle w:val="null3"/>
              <w:ind w:firstLine="480"/>
              <w:jc w:val="both"/>
            </w:pPr>
            <w:r>
              <w:rPr>
                <w:rFonts w:ascii="仿宋_GB2312" w:hAnsi="仿宋_GB2312" w:cs="仿宋_GB2312" w:eastAsia="仿宋_GB2312"/>
                <w:sz w:val="24"/>
              </w:rPr>
              <w:t>Ø</w:t>
            </w:r>
            <w:r>
              <w:rPr>
                <w:rFonts w:ascii="仿宋_GB2312" w:hAnsi="仿宋_GB2312" w:cs="仿宋_GB2312" w:eastAsia="仿宋_GB2312"/>
                <w:sz w:val="24"/>
              </w:rPr>
              <w:t>安全管理：执行安全策略，进行漏洞扫描和修补，防止数据泄露和网络攻击。</w:t>
            </w:r>
          </w:p>
          <w:p>
            <w:pPr>
              <w:pStyle w:val="null3"/>
              <w:ind w:firstLine="480"/>
              <w:jc w:val="both"/>
            </w:pPr>
            <w:r>
              <w:rPr>
                <w:rFonts w:ascii="仿宋_GB2312" w:hAnsi="仿宋_GB2312" w:cs="仿宋_GB2312" w:eastAsia="仿宋_GB2312"/>
                <w:sz w:val="24"/>
              </w:rPr>
              <w:t>Ø</w:t>
            </w:r>
            <w:r>
              <w:rPr>
                <w:rFonts w:ascii="仿宋_GB2312" w:hAnsi="仿宋_GB2312" w:cs="仿宋_GB2312" w:eastAsia="仿宋_GB2312"/>
                <w:sz w:val="24"/>
              </w:rPr>
              <w:t>数据备份与恢复：定期备份重要数据，并确保在需要时可以迅速恢复。</w:t>
            </w:r>
          </w:p>
          <w:p>
            <w:pPr>
              <w:pStyle w:val="null3"/>
              <w:ind w:firstLine="480"/>
              <w:jc w:val="both"/>
            </w:pPr>
            <w:r>
              <w:rPr>
                <w:rFonts w:ascii="仿宋_GB2312" w:hAnsi="仿宋_GB2312" w:cs="仿宋_GB2312" w:eastAsia="仿宋_GB2312"/>
                <w:sz w:val="24"/>
              </w:rPr>
              <w:t>Ø</w:t>
            </w:r>
            <w:r>
              <w:rPr>
                <w:rFonts w:ascii="仿宋_GB2312" w:hAnsi="仿宋_GB2312" w:cs="仿宋_GB2312" w:eastAsia="仿宋_GB2312"/>
                <w:sz w:val="24"/>
              </w:rPr>
              <w:t>性能优化：分析系统性能瓶颈，调整配置和优化系统，以提高效率和响应速度。</w:t>
            </w:r>
          </w:p>
          <w:p>
            <w:pPr>
              <w:pStyle w:val="null3"/>
              <w:ind w:firstLine="480"/>
              <w:jc w:val="both"/>
            </w:pPr>
            <w:r>
              <w:rPr>
                <w:rFonts w:ascii="仿宋_GB2312" w:hAnsi="仿宋_GB2312" w:cs="仿宋_GB2312" w:eastAsia="仿宋_GB2312"/>
                <w:sz w:val="24"/>
              </w:rPr>
              <w:t>Ø</w:t>
            </w:r>
            <w:r>
              <w:rPr>
                <w:rFonts w:ascii="仿宋_GB2312" w:hAnsi="仿宋_GB2312" w:cs="仿宋_GB2312" w:eastAsia="仿宋_GB2312"/>
                <w:sz w:val="24"/>
              </w:rPr>
              <w:t>更新维护：定期更新软件和系统补丁，确保系统安全和功能的最新性。</w:t>
            </w:r>
          </w:p>
          <w:p>
            <w:pPr>
              <w:pStyle w:val="null3"/>
              <w:ind w:firstLine="480"/>
              <w:jc w:val="both"/>
            </w:pPr>
            <w:r>
              <w:rPr>
                <w:rFonts w:ascii="仿宋_GB2312" w:hAnsi="仿宋_GB2312" w:cs="仿宋_GB2312" w:eastAsia="仿宋_GB2312"/>
                <w:sz w:val="24"/>
              </w:rPr>
              <w:t>Ø</w:t>
            </w:r>
            <w:r>
              <w:rPr>
                <w:rFonts w:ascii="仿宋_GB2312" w:hAnsi="仿宋_GB2312" w:cs="仿宋_GB2312" w:eastAsia="仿宋_GB2312"/>
                <w:sz w:val="24"/>
              </w:rPr>
              <w:t>用户支持：为用户提供技术支持，解决使用软件时遇到的问题。</w:t>
            </w:r>
          </w:p>
          <w:p>
            <w:pPr>
              <w:pStyle w:val="null3"/>
              <w:ind w:firstLine="480"/>
              <w:jc w:val="both"/>
            </w:pPr>
            <w:r>
              <w:rPr>
                <w:rFonts w:ascii="仿宋_GB2312" w:hAnsi="仿宋_GB2312" w:cs="仿宋_GB2312" w:eastAsia="仿宋_GB2312"/>
                <w:sz w:val="24"/>
              </w:rPr>
              <w:t>Ø</w:t>
            </w:r>
            <w:r>
              <w:rPr>
                <w:rFonts w:ascii="仿宋_GB2312" w:hAnsi="仿宋_GB2312" w:cs="仿宋_GB2312" w:eastAsia="仿宋_GB2312"/>
                <w:sz w:val="24"/>
              </w:rPr>
              <w:t>配置管理：管理服务器和网络设备的配置，确保配置的一致性和标准化。</w:t>
            </w:r>
          </w:p>
          <w:p>
            <w:pPr>
              <w:pStyle w:val="null3"/>
              <w:ind w:firstLine="480"/>
              <w:jc w:val="both"/>
            </w:pPr>
            <w:r>
              <w:rPr>
                <w:rFonts w:ascii="仿宋_GB2312" w:hAnsi="仿宋_GB2312" w:cs="仿宋_GB2312" w:eastAsia="仿宋_GB2312"/>
                <w:sz w:val="24"/>
              </w:rPr>
              <w:t>Ø</w:t>
            </w:r>
            <w:r>
              <w:rPr>
                <w:rFonts w:ascii="仿宋_GB2312" w:hAnsi="仿宋_GB2312" w:cs="仿宋_GB2312" w:eastAsia="仿宋_GB2312"/>
                <w:sz w:val="24"/>
              </w:rPr>
              <w:t>资源规划：根据业务需求，规划和调整服务器资源，包括计算、存储和网络资源。</w:t>
            </w:r>
          </w:p>
          <w:p>
            <w:pPr>
              <w:pStyle w:val="null3"/>
              <w:spacing w:before="285" w:after="285"/>
              <w:jc w:val="both"/>
              <w:outlineLvl w:val="4"/>
            </w:pPr>
            <w:r>
              <w:rPr>
                <w:rFonts w:ascii="仿宋_GB2312" w:hAnsi="仿宋_GB2312" w:cs="仿宋_GB2312" w:eastAsia="仿宋_GB2312"/>
                <w:sz w:val="24"/>
                <w:b/>
              </w:rPr>
              <w:t>7.</w:t>
            </w:r>
            <w:r>
              <w:rPr>
                <w:rFonts w:ascii="仿宋_GB2312" w:hAnsi="仿宋_GB2312" w:cs="仿宋_GB2312" w:eastAsia="仿宋_GB2312"/>
                <w:sz w:val="24"/>
                <w:b/>
              </w:rPr>
              <w:t>服务保障</w:t>
            </w:r>
          </w:p>
          <w:p>
            <w:pPr>
              <w:pStyle w:val="null3"/>
              <w:spacing w:before="240" w:after="60"/>
              <w:jc w:val="both"/>
              <w:outlineLvl w:val="5"/>
            </w:pPr>
            <w:r>
              <w:rPr>
                <w:rFonts w:ascii="仿宋_GB2312" w:hAnsi="仿宋_GB2312" w:cs="仿宋_GB2312" w:eastAsia="仿宋_GB2312"/>
                <w:sz w:val="24"/>
                <w:b/>
              </w:rPr>
              <w:t>(1)</w:t>
            </w:r>
            <w:r>
              <w:rPr>
                <w:rFonts w:ascii="仿宋_GB2312" w:hAnsi="仿宋_GB2312" w:cs="仿宋_GB2312" w:eastAsia="仿宋_GB2312"/>
                <w:sz w:val="24"/>
                <w:b/>
              </w:rPr>
              <w:t>重要时期保障服务</w:t>
            </w:r>
          </w:p>
          <w:p>
            <w:pPr>
              <w:pStyle w:val="null3"/>
              <w:ind w:firstLine="480"/>
              <w:jc w:val="both"/>
            </w:pPr>
            <w:r>
              <w:rPr>
                <w:rFonts w:ascii="仿宋_GB2312" w:hAnsi="仿宋_GB2312" w:cs="仿宋_GB2312" w:eastAsia="仿宋_GB2312"/>
                <w:sz w:val="24"/>
              </w:rPr>
              <w:t>如遇有重大事件（包括但不限于系统升级、迁移、割接，系统中断，汛期、节假日、政治军事活动等），供应商应编制安全保障方案，并根据采购人需要提供现场保障服务。</w:t>
            </w:r>
          </w:p>
          <w:p>
            <w:pPr>
              <w:pStyle w:val="null3"/>
              <w:ind w:firstLine="480"/>
              <w:jc w:val="both"/>
            </w:pPr>
            <w:r>
              <w:rPr>
                <w:rFonts w:ascii="仿宋_GB2312" w:hAnsi="仿宋_GB2312" w:cs="仿宋_GB2312" w:eastAsia="仿宋_GB2312"/>
                <w:sz w:val="24"/>
              </w:rPr>
              <w:t>系统升级、迁移、割接：开展业务系统或相关软硬件的升级、迁移、割接等工作前，供应商应制定完善的操作实施方案，采取适当的措施降低对业务系统的影响。对于可能影响业务系统的各类操作，应全面评估其操作影响，至少提前</w:t>
            </w:r>
            <w:r>
              <w:rPr>
                <w:rFonts w:ascii="仿宋_GB2312" w:hAnsi="仿宋_GB2312" w:cs="仿宋_GB2312" w:eastAsia="仿宋_GB2312"/>
                <w:sz w:val="24"/>
              </w:rPr>
              <w:t>3天书面通知采购人，经相关业务部门同意后方可实施，且实施时供应商应提供7×24小时的驻场值守服务。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系统中断</w:t>
            </w:r>
          </w:p>
          <w:p>
            <w:pPr>
              <w:pStyle w:val="null3"/>
              <w:ind w:firstLine="480"/>
              <w:jc w:val="both"/>
            </w:pPr>
            <w:r>
              <w:rPr>
                <w:rFonts w:ascii="仿宋_GB2312" w:hAnsi="仿宋_GB2312" w:cs="仿宋_GB2312" w:eastAsia="仿宋_GB2312"/>
                <w:sz w:val="24"/>
              </w:rPr>
              <w:t>由于系统维护或其他原因需要计划性地中断系统时，应提前至少</w:t>
            </w:r>
            <w:r>
              <w:rPr>
                <w:rFonts w:ascii="仿宋_GB2312" w:hAnsi="仿宋_GB2312" w:cs="仿宋_GB2312" w:eastAsia="仿宋_GB2312"/>
                <w:sz w:val="24"/>
              </w:rPr>
              <w:t>72小时书面通知采购人，经采购人同意后方可实施，且实施时供应商应提供7×24小时的驻场值守服务。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重大活动、节假日保障</w:t>
            </w:r>
          </w:p>
          <w:p>
            <w:pPr>
              <w:pStyle w:val="null3"/>
              <w:ind w:firstLine="480"/>
              <w:jc w:val="both"/>
            </w:pPr>
            <w:r>
              <w:rPr>
                <w:rFonts w:ascii="仿宋_GB2312" w:hAnsi="仿宋_GB2312" w:cs="仿宋_GB2312" w:eastAsia="仿宋_GB2312"/>
                <w:sz w:val="24"/>
              </w:rPr>
              <w:t>针对重大活动、重要节假期及其他重要时期应提供重点保障服务，需提前制定强化重点保障措施，确保业务骨干、管理人员到场并提前制订预案，确保公共数据生产工作安全、稳定运行，涉及数据运营相关的信息安全提供重点保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应急演练</w:t>
            </w:r>
          </w:p>
          <w:p>
            <w:pPr>
              <w:pStyle w:val="null3"/>
              <w:ind w:firstLine="480"/>
              <w:jc w:val="both"/>
            </w:pPr>
            <w:r>
              <w:rPr>
                <w:rFonts w:ascii="仿宋_GB2312" w:hAnsi="仿宋_GB2312" w:cs="仿宋_GB2312" w:eastAsia="仿宋_GB2312"/>
                <w:sz w:val="24"/>
              </w:rPr>
              <w:t>应根据采购人应急预案要求进行针对性应急演练，如有必要可根据采购人要求组织应急演练。供应商应制订应急演练方案，经采购人同意实施，且实施时供应商应提供</w:t>
            </w:r>
            <w:r>
              <w:rPr>
                <w:rFonts w:ascii="仿宋_GB2312" w:hAnsi="仿宋_GB2312" w:cs="仿宋_GB2312" w:eastAsia="仿宋_GB2312"/>
                <w:sz w:val="24"/>
              </w:rPr>
              <w:t>7×24小时的驻场值守服务。</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其他重点保障服务</w:t>
            </w:r>
          </w:p>
          <w:p>
            <w:pPr>
              <w:pStyle w:val="null3"/>
              <w:ind w:firstLine="480"/>
              <w:jc w:val="both"/>
            </w:pPr>
            <w:r>
              <w:rPr>
                <w:rFonts w:ascii="仿宋_GB2312" w:hAnsi="仿宋_GB2312" w:cs="仿宋_GB2312" w:eastAsia="仿宋_GB2312"/>
                <w:sz w:val="24"/>
              </w:rPr>
              <w:t>当系统频繁出现故障、或需要提高系统维护等级等情况下，应采购人要求，供应商应提供</w:t>
            </w:r>
            <w:r>
              <w:rPr>
                <w:rFonts w:ascii="仿宋_GB2312" w:hAnsi="仿宋_GB2312" w:cs="仿宋_GB2312" w:eastAsia="仿宋_GB2312"/>
                <w:sz w:val="24"/>
              </w:rPr>
              <w:t>7×24小时的驻场值守服务。</w:t>
            </w:r>
          </w:p>
          <w:p>
            <w:pPr>
              <w:pStyle w:val="null3"/>
              <w:ind w:firstLine="480"/>
              <w:jc w:val="both"/>
            </w:pPr>
            <w:r>
              <w:rPr>
                <w:rFonts w:ascii="仿宋_GB2312" w:hAnsi="仿宋_GB2312" w:cs="仿宋_GB2312" w:eastAsia="仿宋_GB2312"/>
                <w:sz w:val="24"/>
              </w:rPr>
              <w:t>以上工作所产生的费用都由供应商承担。</w:t>
            </w:r>
          </w:p>
          <w:p>
            <w:pPr>
              <w:pStyle w:val="null3"/>
              <w:spacing w:before="240" w:after="60"/>
              <w:jc w:val="both"/>
              <w:outlineLvl w:val="5"/>
            </w:pPr>
            <w:r>
              <w:rPr>
                <w:rFonts w:ascii="仿宋_GB2312" w:hAnsi="仿宋_GB2312" w:cs="仿宋_GB2312" w:eastAsia="仿宋_GB2312"/>
                <w:sz w:val="24"/>
                <w:b/>
              </w:rPr>
              <w:t>(2)</w:t>
            </w:r>
            <w:r>
              <w:rPr>
                <w:rFonts w:ascii="仿宋_GB2312" w:hAnsi="仿宋_GB2312" w:cs="仿宋_GB2312" w:eastAsia="仿宋_GB2312"/>
                <w:sz w:val="24"/>
                <w:b/>
              </w:rPr>
              <w:t>服务响应</w:t>
            </w:r>
          </w:p>
          <w:p>
            <w:pPr>
              <w:pStyle w:val="null3"/>
              <w:ind w:firstLine="480"/>
              <w:jc w:val="both"/>
            </w:pPr>
            <w:r>
              <w:rPr>
                <w:rFonts w:ascii="仿宋_GB2312" w:hAnsi="仿宋_GB2312" w:cs="仿宋_GB2312" w:eastAsia="仿宋_GB2312"/>
                <w:sz w:val="24"/>
              </w:rPr>
              <w:t>提供</w:t>
            </w:r>
            <w:r>
              <w:rPr>
                <w:rFonts w:ascii="仿宋_GB2312" w:hAnsi="仿宋_GB2312" w:cs="仿宋_GB2312" w:eastAsia="仿宋_GB2312"/>
                <w:sz w:val="24"/>
              </w:rPr>
              <w:t>7×24小时技术支持热线/工单系统/在线客服。提供专属客户经理或技术支持人员。</w:t>
            </w:r>
          </w:p>
          <w:p>
            <w:pPr>
              <w:pStyle w:val="null3"/>
              <w:ind w:firstLine="480"/>
              <w:jc w:val="both"/>
            </w:pPr>
            <w:r>
              <w:rPr>
                <w:rFonts w:ascii="仿宋_GB2312" w:hAnsi="仿宋_GB2312" w:cs="仿宋_GB2312" w:eastAsia="仿宋_GB2312"/>
                <w:sz w:val="24"/>
              </w:rPr>
              <w:t>当故障排除操作全部完成后，供应商应向我中心提交故障报告，经我中心验证通过后签字确认并归档保存，同时组织更新相关文档。</w:t>
            </w:r>
          </w:p>
          <w:p>
            <w:pPr>
              <w:pStyle w:val="null3"/>
              <w:ind w:firstLine="480"/>
              <w:jc w:val="both"/>
            </w:pPr>
            <w:r>
              <w:rPr>
                <w:rFonts w:ascii="仿宋_GB2312" w:hAnsi="仿宋_GB2312" w:cs="仿宋_GB2312" w:eastAsia="仿宋_GB2312"/>
                <w:sz w:val="24"/>
              </w:rPr>
              <w:t>供应商应有专门的数据记录方式，记录和整理采购人的各类故障及技术分析处置结果、技术咨询问题及答复等。</w:t>
            </w:r>
          </w:p>
          <w:p>
            <w:pPr>
              <w:pStyle w:val="null3"/>
              <w:ind w:firstLine="480"/>
              <w:jc w:val="both"/>
            </w:pPr>
            <w:r>
              <w:rPr>
                <w:rFonts w:ascii="仿宋_GB2312" w:hAnsi="仿宋_GB2312" w:cs="仿宋_GB2312" w:eastAsia="仿宋_GB2312"/>
                <w:sz w:val="24"/>
              </w:rPr>
              <w:t>供应商必须提供</w:t>
            </w:r>
            <w:r>
              <w:rPr>
                <w:rFonts w:ascii="仿宋_GB2312" w:hAnsi="仿宋_GB2312" w:cs="仿宋_GB2312" w:eastAsia="仿宋_GB2312"/>
                <w:sz w:val="24"/>
              </w:rPr>
              <w:t>7×24小时全天候应急响应服务。依据故障时间及故障范围划分故障级别，故障级别分为六级，依次为：</w:t>
            </w:r>
          </w:p>
          <w:tbl>
            <w:tblPr>
              <w:tblInd w:type="dxa" w:w="15"/>
              <w:tblBorders>
                <w:top w:val="none" w:color="000000" w:sz="4"/>
                <w:left w:val="none" w:color="000000" w:sz="4"/>
                <w:bottom w:val="none" w:color="000000" w:sz="4"/>
                <w:right w:val="none" w:color="000000" w:sz="4"/>
                <w:insideH w:val="none"/>
                <w:insideV w:val="none"/>
              </w:tblBorders>
            </w:tblPr>
            <w:tblGrid>
              <w:gridCol w:w="841"/>
              <w:gridCol w:w="2983"/>
            </w:tblGrid>
            <w:tr>
              <w:tc>
                <w:tcPr>
                  <w:tcW w:type="dxa" w:w="841"/>
                  <w:tcBorders>
                    <w:top w:val="single" w:color="000000" w:sz="4"/>
                    <w:left w:val="single" w:color="000000" w:sz="4"/>
                    <w:bottom w:val="single" w:color="000000" w:sz="4"/>
                    <w:right w:val="single" w:color="000000" w:sz="4"/>
                  </w:tcBorders>
                  <w:tcMar>
                    <w:top w:type="dxa" w:w="90"/>
                    <w:left w:type="dxa" w:w="90"/>
                    <w:bottom w:type="dxa" w:w="90"/>
                    <w:right w:type="dxa" w:w="90"/>
                  </w:tcMar>
                  <w:vAlign w:val="top"/>
                </w:tcPr>
                <w:p>
                  <w:pPr>
                    <w:pStyle w:val="null3"/>
                    <w:jc w:val="center"/>
                  </w:pPr>
                  <w:r>
                    <w:rPr>
                      <w:rFonts w:ascii="仿宋_GB2312" w:hAnsi="仿宋_GB2312" w:cs="仿宋_GB2312" w:eastAsia="仿宋_GB2312"/>
                      <w:sz w:val="24"/>
                      <w:b/>
                    </w:rPr>
                    <w:t>故障级别</w:t>
                  </w:r>
                </w:p>
              </w:tc>
              <w:tc>
                <w:tcPr>
                  <w:tcW w:type="dxa" w:w="2983"/>
                  <w:tcBorders>
                    <w:top w:val="single" w:color="000000" w:sz="4"/>
                    <w:left w:val="single" w:color="000000" w:sz="4"/>
                    <w:bottom w:val="single" w:color="000000" w:sz="4"/>
                    <w:right w:val="single" w:color="000000" w:sz="4"/>
                  </w:tcBorders>
                  <w:tcMar>
                    <w:top w:type="dxa" w:w="90"/>
                    <w:left w:type="dxa" w:w="90"/>
                    <w:bottom w:type="dxa" w:w="90"/>
                    <w:right w:type="dxa" w:w="90"/>
                  </w:tcMar>
                  <w:vAlign w:val="top"/>
                </w:tcPr>
                <w:p>
                  <w:pPr>
                    <w:pStyle w:val="null3"/>
                    <w:jc w:val="center"/>
                  </w:pPr>
                  <w:r>
                    <w:rPr>
                      <w:rFonts w:ascii="仿宋_GB2312" w:hAnsi="仿宋_GB2312" w:cs="仿宋_GB2312" w:eastAsia="仿宋_GB2312"/>
                      <w:sz w:val="24"/>
                      <w:b/>
                    </w:rPr>
                    <w:t>故障时间及故障范围</w:t>
                  </w:r>
                </w:p>
              </w:tc>
            </w:tr>
            <w:tr>
              <w:tc>
                <w:tcPr>
                  <w:tcW w:type="dxa" w:w="841"/>
                  <w:tcBorders>
                    <w:top w:val="none" w:color="000000" w:sz="4"/>
                    <w:left w:val="single" w:color="000000" w:sz="4"/>
                    <w:bottom w:val="single" w:color="000000" w:sz="4"/>
                    <w:right w:val="single" w:color="000000" w:sz="4"/>
                  </w:tcBorders>
                  <w:tcMar>
                    <w:top w:type="dxa" w:w="90"/>
                    <w:left w:type="dxa" w:w="90"/>
                    <w:bottom w:type="dxa" w:w="90"/>
                    <w:right w:type="dxa" w:w="90"/>
                  </w:tcMar>
                  <w:vAlign w:val="top"/>
                </w:tcPr>
                <w:p>
                  <w:pPr>
                    <w:pStyle w:val="null3"/>
                    <w:jc w:val="center"/>
                  </w:pPr>
                  <w:r>
                    <w:rPr>
                      <w:rFonts w:ascii="仿宋_GB2312" w:hAnsi="仿宋_GB2312" w:cs="仿宋_GB2312" w:eastAsia="仿宋_GB2312"/>
                      <w:sz w:val="24"/>
                    </w:rPr>
                    <w:t>特别重大故障（一级）</w:t>
                  </w:r>
                  <w:r>
                    <w:rPr>
                      <w:rFonts w:ascii="仿宋_GB2312" w:hAnsi="仿宋_GB2312" w:cs="仿宋_GB2312" w:eastAsia="仿宋_GB2312"/>
                      <w:sz w:val="24"/>
                    </w:rPr>
                    <w:t>A1</w:t>
                  </w:r>
                </w:p>
              </w:tc>
              <w:tc>
                <w:tcPr>
                  <w:tcW w:type="dxa" w:w="2983"/>
                  <w:tcBorders>
                    <w:top w:val="none" w:color="000000" w:sz="4"/>
                    <w:left w:val="single" w:color="000000" w:sz="4"/>
                    <w:bottom w:val="single" w:color="000000" w:sz="4"/>
                    <w:right w:val="single" w:color="000000" w:sz="4"/>
                  </w:tcBorders>
                  <w:tcMar>
                    <w:top w:type="dxa" w:w="90"/>
                    <w:left w:type="dxa" w:w="90"/>
                    <w:bottom w:type="dxa" w:w="90"/>
                    <w:right w:type="dxa" w:w="90"/>
                  </w:tcMar>
                  <w:vAlign w:val="top"/>
                </w:tcPr>
                <w:p>
                  <w:pPr>
                    <w:pStyle w:val="null3"/>
                    <w:jc w:val="both"/>
                  </w:pPr>
                  <w:r>
                    <w:rPr>
                      <w:rFonts w:ascii="仿宋_GB2312" w:hAnsi="仿宋_GB2312" w:cs="仿宋_GB2312" w:eastAsia="仿宋_GB2312"/>
                      <w:sz w:val="24"/>
                    </w:rPr>
                    <w:t>用户无法正常使用业务应用服务超过</w:t>
                  </w:r>
                  <w:r>
                    <w:rPr>
                      <w:rFonts w:ascii="仿宋_GB2312" w:hAnsi="仿宋_GB2312" w:cs="仿宋_GB2312" w:eastAsia="仿宋_GB2312"/>
                      <w:sz w:val="24"/>
                    </w:rPr>
                    <w:t>60分钟；</w:t>
                  </w:r>
                </w:p>
              </w:tc>
            </w:tr>
            <w:tr>
              <w:tc>
                <w:tcPr>
                  <w:tcW w:type="dxa" w:w="841"/>
                  <w:tcBorders>
                    <w:top w:val="none" w:color="000000" w:sz="4"/>
                    <w:left w:val="single" w:color="000000" w:sz="4"/>
                    <w:bottom w:val="single" w:color="000000" w:sz="4"/>
                    <w:right w:val="single" w:color="000000" w:sz="4"/>
                  </w:tcBorders>
                  <w:tcMar>
                    <w:top w:type="dxa" w:w="90"/>
                    <w:left w:type="dxa" w:w="90"/>
                    <w:bottom w:type="dxa" w:w="90"/>
                    <w:right w:type="dxa" w:w="90"/>
                  </w:tcMar>
                  <w:vAlign w:val="top"/>
                </w:tcPr>
                <w:p>
                  <w:pPr>
                    <w:pStyle w:val="null3"/>
                    <w:jc w:val="center"/>
                  </w:pPr>
                  <w:r>
                    <w:rPr>
                      <w:rFonts w:ascii="仿宋_GB2312" w:hAnsi="仿宋_GB2312" w:cs="仿宋_GB2312" w:eastAsia="仿宋_GB2312"/>
                      <w:sz w:val="24"/>
                    </w:rPr>
                    <w:t>重大故障</w:t>
                  </w:r>
                </w:p>
                <w:p>
                  <w:pPr>
                    <w:pStyle w:val="null3"/>
                    <w:jc w:val="center"/>
                  </w:pPr>
                  <w:r>
                    <w:rPr>
                      <w:rFonts w:ascii="仿宋_GB2312" w:hAnsi="仿宋_GB2312" w:cs="仿宋_GB2312" w:eastAsia="仿宋_GB2312"/>
                      <w:sz w:val="24"/>
                    </w:rPr>
                    <w:t>（二级）</w:t>
                  </w:r>
                  <w:r>
                    <w:rPr>
                      <w:rFonts w:ascii="仿宋_GB2312" w:hAnsi="仿宋_GB2312" w:cs="仿宋_GB2312" w:eastAsia="仿宋_GB2312"/>
                      <w:sz w:val="24"/>
                    </w:rPr>
                    <w:t>A2</w:t>
                  </w:r>
                </w:p>
              </w:tc>
              <w:tc>
                <w:tcPr>
                  <w:tcW w:type="dxa" w:w="2983"/>
                  <w:tcBorders>
                    <w:top w:val="none" w:color="000000" w:sz="4"/>
                    <w:left w:val="single" w:color="000000" w:sz="4"/>
                    <w:bottom w:val="single" w:color="000000" w:sz="4"/>
                    <w:right w:val="single" w:color="000000" w:sz="4"/>
                  </w:tcBorders>
                  <w:tcMar>
                    <w:top w:type="dxa" w:w="90"/>
                    <w:left w:type="dxa" w:w="90"/>
                    <w:bottom w:type="dxa" w:w="90"/>
                    <w:right w:type="dxa" w:w="90"/>
                  </w:tcMar>
                  <w:vAlign w:val="top"/>
                </w:tcPr>
                <w:p>
                  <w:pPr>
                    <w:pStyle w:val="null3"/>
                    <w:jc w:val="both"/>
                  </w:pPr>
                  <w:r>
                    <w:rPr>
                      <w:rFonts w:ascii="仿宋_GB2312" w:hAnsi="仿宋_GB2312" w:cs="仿宋_GB2312" w:eastAsia="仿宋_GB2312"/>
                      <w:sz w:val="24"/>
                    </w:rPr>
                    <w:t>用户无法正常使用业务应用服务超过</w:t>
                  </w:r>
                  <w:r>
                    <w:rPr>
                      <w:rFonts w:ascii="仿宋_GB2312" w:hAnsi="仿宋_GB2312" w:cs="仿宋_GB2312" w:eastAsia="仿宋_GB2312"/>
                      <w:sz w:val="24"/>
                    </w:rPr>
                    <w:t>30分钟且低于60分钟（含）；</w:t>
                  </w:r>
                </w:p>
              </w:tc>
            </w:tr>
            <w:tr>
              <w:tc>
                <w:tcPr>
                  <w:tcW w:type="dxa" w:w="841"/>
                  <w:tcBorders>
                    <w:top w:val="none" w:color="000000" w:sz="4"/>
                    <w:left w:val="single" w:color="000000" w:sz="4"/>
                    <w:bottom w:val="single" w:color="000000" w:sz="4"/>
                    <w:right w:val="single" w:color="000000" w:sz="4"/>
                  </w:tcBorders>
                  <w:tcMar>
                    <w:top w:type="dxa" w:w="90"/>
                    <w:left w:type="dxa" w:w="90"/>
                    <w:bottom w:type="dxa" w:w="90"/>
                    <w:right w:type="dxa" w:w="90"/>
                  </w:tcMar>
                  <w:vAlign w:val="top"/>
                </w:tcPr>
                <w:p>
                  <w:pPr>
                    <w:pStyle w:val="null3"/>
                    <w:jc w:val="center"/>
                  </w:pPr>
                  <w:r>
                    <w:rPr>
                      <w:rFonts w:ascii="仿宋_GB2312" w:hAnsi="仿宋_GB2312" w:cs="仿宋_GB2312" w:eastAsia="仿宋_GB2312"/>
                      <w:sz w:val="24"/>
                    </w:rPr>
                    <w:t>较大故障</w:t>
                  </w:r>
                </w:p>
                <w:p>
                  <w:pPr>
                    <w:pStyle w:val="null3"/>
                    <w:jc w:val="center"/>
                  </w:pPr>
                  <w:r>
                    <w:rPr>
                      <w:rFonts w:ascii="仿宋_GB2312" w:hAnsi="仿宋_GB2312" w:cs="仿宋_GB2312" w:eastAsia="仿宋_GB2312"/>
                      <w:sz w:val="24"/>
                    </w:rPr>
                    <w:t>（三级）</w:t>
                  </w:r>
                  <w:r>
                    <w:rPr>
                      <w:rFonts w:ascii="仿宋_GB2312" w:hAnsi="仿宋_GB2312" w:cs="仿宋_GB2312" w:eastAsia="仿宋_GB2312"/>
                      <w:sz w:val="24"/>
                    </w:rPr>
                    <w:t>B1</w:t>
                  </w:r>
                </w:p>
              </w:tc>
              <w:tc>
                <w:tcPr>
                  <w:tcW w:type="dxa" w:w="2983"/>
                  <w:tcBorders>
                    <w:top w:val="none" w:color="000000" w:sz="4"/>
                    <w:left w:val="single" w:color="000000" w:sz="4"/>
                    <w:bottom w:val="single" w:color="000000" w:sz="4"/>
                    <w:right w:val="single" w:color="000000" w:sz="4"/>
                  </w:tcBorders>
                  <w:tcMar>
                    <w:top w:type="dxa" w:w="90"/>
                    <w:left w:type="dxa" w:w="90"/>
                    <w:bottom w:type="dxa" w:w="90"/>
                    <w:right w:type="dxa" w:w="90"/>
                  </w:tcMar>
                  <w:vAlign w:val="top"/>
                </w:tcPr>
                <w:p>
                  <w:pPr>
                    <w:pStyle w:val="null3"/>
                    <w:jc w:val="both"/>
                  </w:pPr>
                  <w:r>
                    <w:rPr>
                      <w:rFonts w:ascii="仿宋_GB2312" w:hAnsi="仿宋_GB2312" w:cs="仿宋_GB2312" w:eastAsia="仿宋_GB2312"/>
                      <w:sz w:val="24"/>
                    </w:rPr>
                    <w:t>用户无法正常使用应用服务超过</w:t>
                  </w:r>
                  <w:r>
                    <w:rPr>
                      <w:rFonts w:ascii="仿宋_GB2312" w:hAnsi="仿宋_GB2312" w:cs="仿宋_GB2312" w:eastAsia="仿宋_GB2312"/>
                      <w:sz w:val="24"/>
                    </w:rPr>
                    <w:t>10分钟且低于30分钟（含）；</w:t>
                  </w:r>
                </w:p>
              </w:tc>
            </w:tr>
            <w:tr>
              <w:tc>
                <w:tcPr>
                  <w:tcW w:type="dxa" w:w="841"/>
                  <w:tcBorders>
                    <w:top w:val="none" w:color="000000" w:sz="4"/>
                    <w:left w:val="single" w:color="000000" w:sz="4"/>
                    <w:bottom w:val="single" w:color="000000" w:sz="4"/>
                    <w:right w:val="single" w:color="000000" w:sz="4"/>
                  </w:tcBorders>
                  <w:tcMar>
                    <w:top w:type="dxa" w:w="90"/>
                    <w:left w:type="dxa" w:w="90"/>
                    <w:bottom w:type="dxa" w:w="90"/>
                    <w:right w:type="dxa" w:w="90"/>
                  </w:tcMar>
                  <w:vAlign w:val="top"/>
                </w:tcPr>
                <w:p>
                  <w:pPr>
                    <w:pStyle w:val="null3"/>
                    <w:jc w:val="center"/>
                  </w:pPr>
                  <w:r>
                    <w:rPr>
                      <w:rFonts w:ascii="仿宋_GB2312" w:hAnsi="仿宋_GB2312" w:cs="仿宋_GB2312" w:eastAsia="仿宋_GB2312"/>
                      <w:sz w:val="24"/>
                    </w:rPr>
                    <w:t>一般故障</w:t>
                  </w:r>
                </w:p>
                <w:p>
                  <w:pPr>
                    <w:pStyle w:val="null3"/>
                    <w:jc w:val="center"/>
                  </w:pPr>
                  <w:r>
                    <w:rPr>
                      <w:rFonts w:ascii="仿宋_GB2312" w:hAnsi="仿宋_GB2312" w:cs="仿宋_GB2312" w:eastAsia="仿宋_GB2312"/>
                      <w:sz w:val="24"/>
                    </w:rPr>
                    <w:t>（四级）</w:t>
                  </w:r>
                  <w:r>
                    <w:rPr>
                      <w:rFonts w:ascii="仿宋_GB2312" w:hAnsi="仿宋_GB2312" w:cs="仿宋_GB2312" w:eastAsia="仿宋_GB2312"/>
                      <w:sz w:val="24"/>
                    </w:rPr>
                    <w:t>B2</w:t>
                  </w:r>
                </w:p>
              </w:tc>
              <w:tc>
                <w:tcPr>
                  <w:tcW w:type="dxa" w:w="2983"/>
                  <w:tcBorders>
                    <w:top w:val="none" w:color="000000" w:sz="4"/>
                    <w:left w:val="single" w:color="000000" w:sz="4"/>
                    <w:bottom w:val="single" w:color="000000" w:sz="4"/>
                    <w:right w:val="single" w:color="000000" w:sz="4"/>
                  </w:tcBorders>
                  <w:tcMar>
                    <w:top w:type="dxa" w:w="90"/>
                    <w:left w:type="dxa" w:w="90"/>
                    <w:bottom w:type="dxa" w:w="90"/>
                    <w:right w:type="dxa" w:w="90"/>
                  </w:tcMar>
                  <w:vAlign w:val="top"/>
                </w:tcPr>
                <w:p>
                  <w:pPr>
                    <w:pStyle w:val="null3"/>
                    <w:jc w:val="both"/>
                  </w:pPr>
                  <w:r>
                    <w:rPr>
                      <w:rFonts w:ascii="仿宋_GB2312" w:hAnsi="仿宋_GB2312" w:cs="仿宋_GB2312" w:eastAsia="仿宋_GB2312"/>
                      <w:sz w:val="24"/>
                    </w:rPr>
                    <w:t>用户无法正常使用应用服务小于</w:t>
                  </w:r>
                  <w:r>
                    <w:rPr>
                      <w:rFonts w:ascii="仿宋_GB2312" w:hAnsi="仿宋_GB2312" w:cs="仿宋_GB2312" w:eastAsia="仿宋_GB2312"/>
                      <w:sz w:val="24"/>
                    </w:rPr>
                    <w:t>10分钟（含）；</w:t>
                  </w:r>
                </w:p>
              </w:tc>
            </w:tr>
            <w:tr>
              <w:tc>
                <w:tcPr>
                  <w:tcW w:type="dxa" w:w="841"/>
                  <w:tcBorders>
                    <w:top w:val="none" w:color="000000" w:sz="4"/>
                    <w:left w:val="single" w:color="000000" w:sz="4"/>
                    <w:bottom w:val="single" w:color="000000" w:sz="4"/>
                    <w:right w:val="single" w:color="000000" w:sz="4"/>
                  </w:tcBorders>
                  <w:tcMar>
                    <w:top w:type="dxa" w:w="90"/>
                    <w:left w:type="dxa" w:w="90"/>
                    <w:bottom w:type="dxa" w:w="90"/>
                    <w:right w:type="dxa" w:w="90"/>
                  </w:tcMar>
                  <w:vAlign w:val="top"/>
                </w:tcPr>
                <w:p>
                  <w:pPr>
                    <w:pStyle w:val="null3"/>
                    <w:jc w:val="center"/>
                  </w:pPr>
                  <w:r>
                    <w:rPr>
                      <w:rFonts w:ascii="仿宋_GB2312" w:hAnsi="仿宋_GB2312" w:cs="仿宋_GB2312" w:eastAsia="仿宋_GB2312"/>
                      <w:sz w:val="24"/>
                    </w:rPr>
                    <w:t>未产生批量投诉，无社会影响度</w:t>
                  </w:r>
                  <w:r>
                    <w:rPr>
                      <w:rFonts w:ascii="仿宋_GB2312" w:hAnsi="仿宋_GB2312" w:cs="仿宋_GB2312" w:eastAsia="仿宋_GB2312"/>
                      <w:sz w:val="24"/>
                    </w:rPr>
                    <w:t>C+级</w:t>
                  </w:r>
                </w:p>
              </w:tc>
              <w:tc>
                <w:tcPr>
                  <w:tcW w:type="dxa" w:w="2983"/>
                  <w:tcBorders>
                    <w:top w:val="none" w:color="000000" w:sz="4"/>
                    <w:left w:val="single" w:color="000000" w:sz="4"/>
                    <w:bottom w:val="single" w:color="000000" w:sz="4"/>
                    <w:right w:val="single" w:color="000000" w:sz="4"/>
                  </w:tcBorders>
                  <w:tcMar>
                    <w:top w:type="dxa" w:w="90"/>
                    <w:left w:type="dxa" w:w="90"/>
                    <w:bottom w:type="dxa" w:w="90"/>
                    <w:right w:type="dxa" w:w="90"/>
                  </w:tcMar>
                  <w:vAlign w:val="top"/>
                </w:tcPr>
                <w:p>
                  <w:pPr>
                    <w:pStyle w:val="null3"/>
                    <w:jc w:val="both"/>
                  </w:pPr>
                  <w:r>
                    <w:rPr>
                      <w:rFonts w:ascii="仿宋_GB2312" w:hAnsi="仿宋_GB2312" w:cs="仿宋_GB2312" w:eastAsia="仿宋_GB2312"/>
                      <w:sz w:val="24"/>
                    </w:rPr>
                    <w:t>1.服务性能下降，引发用户体验下降；</w:t>
                  </w:r>
                </w:p>
                <w:p>
                  <w:pPr>
                    <w:pStyle w:val="null3"/>
                    <w:jc w:val="both"/>
                  </w:pPr>
                  <w:r>
                    <w:rPr>
                      <w:rFonts w:ascii="仿宋_GB2312" w:hAnsi="仿宋_GB2312" w:cs="仿宋_GB2312" w:eastAsia="仿宋_GB2312"/>
                      <w:sz w:val="24"/>
                    </w:rPr>
                    <w:t>2.系统、中间件、网络冗余保护功能丧失，处于无保护运行状态；</w:t>
                  </w:r>
                </w:p>
                <w:p>
                  <w:pPr>
                    <w:pStyle w:val="null3"/>
                    <w:jc w:val="both"/>
                  </w:pPr>
                  <w:r>
                    <w:rPr>
                      <w:rFonts w:ascii="仿宋_GB2312" w:hAnsi="仿宋_GB2312" w:cs="仿宋_GB2312" w:eastAsia="仿宋_GB2312"/>
                      <w:sz w:val="24"/>
                    </w:rPr>
                    <w:t>3.非核心业务接口故障，丢失辅助业务功能，不影响核心服务；</w:t>
                  </w:r>
                </w:p>
              </w:tc>
            </w:tr>
            <w:tr>
              <w:tc>
                <w:tcPr>
                  <w:tcW w:type="dxa" w:w="841"/>
                  <w:tcBorders>
                    <w:top w:val="none" w:color="000000" w:sz="4"/>
                    <w:left w:val="single" w:color="000000" w:sz="4"/>
                    <w:bottom w:val="single" w:color="000000" w:sz="4"/>
                    <w:right w:val="single" w:color="000000" w:sz="4"/>
                  </w:tcBorders>
                  <w:tcMar>
                    <w:top w:type="dxa" w:w="90"/>
                    <w:left w:type="dxa" w:w="90"/>
                    <w:bottom w:type="dxa" w:w="90"/>
                    <w:right w:type="dxa" w:w="90"/>
                  </w:tcMar>
                  <w:vAlign w:val="top"/>
                </w:tcPr>
                <w:p>
                  <w:pPr>
                    <w:pStyle w:val="null3"/>
                    <w:jc w:val="center"/>
                  </w:pPr>
                  <w:r>
                    <w:rPr>
                      <w:rFonts w:ascii="仿宋_GB2312" w:hAnsi="仿宋_GB2312" w:cs="仿宋_GB2312" w:eastAsia="仿宋_GB2312"/>
                      <w:sz w:val="24"/>
                    </w:rPr>
                    <w:t>C级</w:t>
                  </w:r>
                </w:p>
              </w:tc>
              <w:tc>
                <w:tcPr>
                  <w:tcW w:type="dxa" w:w="2983"/>
                  <w:tcBorders>
                    <w:top w:val="none" w:color="000000" w:sz="4"/>
                    <w:left w:val="single" w:color="000000" w:sz="4"/>
                    <w:bottom w:val="single" w:color="000000" w:sz="4"/>
                    <w:right w:val="single" w:color="000000" w:sz="4"/>
                  </w:tcBorders>
                  <w:tcMar>
                    <w:top w:type="dxa" w:w="90"/>
                    <w:left w:type="dxa" w:w="90"/>
                    <w:bottom w:type="dxa" w:w="90"/>
                    <w:right w:type="dxa" w:w="90"/>
                  </w:tcMar>
                  <w:vAlign w:val="top"/>
                </w:tcPr>
                <w:p>
                  <w:pPr>
                    <w:pStyle w:val="null3"/>
                    <w:jc w:val="both"/>
                  </w:pPr>
                  <w:r>
                    <w:rPr>
                      <w:rFonts w:ascii="仿宋_GB2312" w:hAnsi="仿宋_GB2312" w:cs="仿宋_GB2312" w:eastAsia="仿宋_GB2312"/>
                      <w:sz w:val="24"/>
                    </w:rPr>
                    <w:t>1.常规的软、硬件故障，未触发业务功能受损，未导致业务的冗余保护功能丧失；</w:t>
                  </w:r>
                </w:p>
                <w:p>
                  <w:pPr>
                    <w:pStyle w:val="null3"/>
                    <w:jc w:val="both"/>
                  </w:pPr>
                  <w:r>
                    <w:rPr>
                      <w:rFonts w:ascii="仿宋_GB2312" w:hAnsi="仿宋_GB2312" w:cs="仿宋_GB2312" w:eastAsia="仿宋_GB2312"/>
                      <w:sz w:val="24"/>
                    </w:rPr>
                    <w:t>2.常规的容量、性能故障，未触发业务功能受损，未导致业务的冗余保护功能丧失；</w:t>
                  </w:r>
                </w:p>
                <w:p>
                  <w:pPr>
                    <w:pStyle w:val="null3"/>
                    <w:jc w:val="both"/>
                  </w:pPr>
                  <w:r>
                    <w:rPr>
                      <w:rFonts w:ascii="仿宋_GB2312" w:hAnsi="仿宋_GB2312" w:cs="仿宋_GB2312" w:eastAsia="仿宋_GB2312"/>
                      <w:sz w:val="24"/>
                    </w:rPr>
                    <w:t>3.其它故障；</w:t>
                  </w:r>
                </w:p>
              </w:tc>
            </w:tr>
          </w:tbl>
          <w:p>
            <w:pPr>
              <w:pStyle w:val="null3"/>
              <w:ind w:firstLine="480"/>
              <w:jc w:val="both"/>
            </w:pPr>
            <w:r>
              <w:rPr>
                <w:rFonts w:ascii="仿宋_GB2312" w:hAnsi="仿宋_GB2312" w:cs="仿宋_GB2312" w:eastAsia="仿宋_GB2312"/>
                <w:sz w:val="24"/>
              </w:rPr>
              <w:t>如发生故障，供应商应严格按照制定的应急预案中故障处理流程实施故障排除操作。根据故障级别落实不同的故障响应措施如下：</w:t>
            </w:r>
          </w:p>
          <w:tbl>
            <w:tblPr>
              <w:tblBorders>
                <w:top w:val="none" w:color="000000" w:sz="4"/>
                <w:left w:val="none" w:color="000000" w:sz="4"/>
                <w:bottom w:val="none" w:color="000000" w:sz="4"/>
                <w:right w:val="none" w:color="000000" w:sz="4"/>
                <w:insideH w:val="none"/>
                <w:insideV w:val="none"/>
              </w:tblBorders>
            </w:tblPr>
            <w:tblGrid>
              <w:gridCol w:w="582"/>
              <w:gridCol w:w="843"/>
              <w:gridCol w:w="779"/>
              <w:gridCol w:w="779"/>
              <w:gridCol w:w="843"/>
            </w:tblGrid>
            <w:tr>
              <w:tc>
                <w:tcPr>
                  <w:tcW w:type="dxa" w:w="582"/>
                  <w:vMerge w:val="restart"/>
                  <w:tcBorders>
                    <w:top w:val="singl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b/>
                    </w:rPr>
                    <w:t>故障级别</w:t>
                  </w:r>
                </w:p>
              </w:tc>
              <w:tc>
                <w:tcPr>
                  <w:tcW w:type="dxa" w:w="3244"/>
                  <w:gridSpan w:val="4"/>
                  <w:tcBorders>
                    <w:top w:val="singl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b/>
                    </w:rPr>
                    <w:t>故障响应措施</w:t>
                  </w:r>
                </w:p>
              </w:tc>
            </w:tr>
            <w:tr>
              <w:tc>
                <w:tcPr>
                  <w:tcW w:type="dxa" w:w="582"/>
                  <w:vMerge/>
                  <w:tcBorders>
                    <w:top w:val="single" w:color="000000" w:sz="4"/>
                    <w:left w:val="single" w:color="000000" w:sz="4"/>
                    <w:bottom w:val="single" w:color="000000" w:sz="4"/>
                    <w:right w:val="single" w:color="000000" w:sz="4"/>
                  </w:tcBorders>
                </w:tcPr>
                <w:p/>
              </w:tc>
              <w:tc>
                <w:tcPr>
                  <w:tcW w:type="dxa" w:w="843"/>
                  <w:tcBorders>
                    <w:top w:val="non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b/>
                    </w:rPr>
                    <w:t>响应级别</w:t>
                  </w:r>
                </w:p>
              </w:tc>
              <w:tc>
                <w:tcPr>
                  <w:tcW w:type="dxa" w:w="779"/>
                  <w:tcBorders>
                    <w:top w:val="singl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b/>
                    </w:rPr>
                    <w:t>发现</w:t>
                  </w:r>
                  <w:r>
                    <w:rPr>
                      <w:rFonts w:ascii="仿宋_GB2312" w:hAnsi="仿宋_GB2312" w:cs="仿宋_GB2312" w:eastAsia="仿宋_GB2312"/>
                      <w:sz w:val="24"/>
                      <w:b/>
                    </w:rPr>
                    <w:t>+预判+传报时间</w:t>
                  </w:r>
                </w:p>
              </w:tc>
              <w:tc>
                <w:tcPr>
                  <w:tcW w:type="dxa" w:w="779"/>
                  <w:tcBorders>
                    <w:top w:val="singl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b/>
                    </w:rPr>
                    <w:t>业务恢复历时</w:t>
                  </w:r>
                </w:p>
              </w:tc>
              <w:tc>
                <w:tcPr>
                  <w:tcW w:type="dxa" w:w="843"/>
                  <w:tcBorders>
                    <w:top w:val="singl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b/>
                    </w:rPr>
                    <w:t>故障处理历时</w:t>
                  </w:r>
                </w:p>
              </w:tc>
            </w:tr>
            <w:tr>
              <w:tc>
                <w:tcPr>
                  <w:tcW w:type="dxa" w:w="582"/>
                  <w:tcBorders>
                    <w:top w:val="non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B2级及以上</w:t>
                  </w:r>
                </w:p>
              </w:tc>
              <w:tc>
                <w:tcPr>
                  <w:tcW w:type="dxa" w:w="843"/>
                  <w:tcBorders>
                    <w:top w:val="non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立即响应</w:t>
                  </w:r>
                </w:p>
              </w:tc>
              <w:tc>
                <w:tcPr>
                  <w:tcW w:type="dxa" w:w="779"/>
                  <w:tcBorders>
                    <w:top w:val="non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5分钟</w:t>
                  </w:r>
                </w:p>
              </w:tc>
              <w:tc>
                <w:tcPr>
                  <w:tcW w:type="dxa" w:w="779"/>
                  <w:tcBorders>
                    <w:top w:val="non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10分钟</w:t>
                  </w:r>
                </w:p>
              </w:tc>
              <w:tc>
                <w:tcPr>
                  <w:tcW w:type="dxa" w:w="843"/>
                  <w:tcBorders>
                    <w:top w:val="non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2小时</w:t>
                  </w:r>
                </w:p>
              </w:tc>
            </w:tr>
            <w:tr>
              <w:tc>
                <w:tcPr>
                  <w:tcW w:type="dxa" w:w="582"/>
                  <w:tcBorders>
                    <w:top w:val="non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C+级</w:t>
                  </w:r>
                </w:p>
              </w:tc>
              <w:tc>
                <w:tcPr>
                  <w:tcW w:type="dxa" w:w="843"/>
                  <w:tcBorders>
                    <w:top w:val="non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5分钟内响应</w:t>
                  </w:r>
                </w:p>
              </w:tc>
              <w:tc>
                <w:tcPr>
                  <w:tcW w:type="dxa" w:w="779"/>
                  <w:tcBorders>
                    <w:top w:val="non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30分钟</w:t>
                  </w:r>
                </w:p>
              </w:tc>
              <w:tc>
                <w:tcPr>
                  <w:tcW w:type="dxa" w:w="779"/>
                  <w:tcBorders>
                    <w:top w:val="non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60分钟</w:t>
                  </w:r>
                </w:p>
              </w:tc>
              <w:tc>
                <w:tcPr>
                  <w:tcW w:type="dxa" w:w="843"/>
                  <w:tcBorders>
                    <w:top w:val="non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4小时</w:t>
                  </w:r>
                </w:p>
              </w:tc>
            </w:tr>
            <w:tr>
              <w:tc>
                <w:tcPr>
                  <w:tcW w:type="dxa" w:w="582"/>
                  <w:tcBorders>
                    <w:top w:val="non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C级</w:t>
                  </w:r>
                </w:p>
              </w:tc>
              <w:tc>
                <w:tcPr>
                  <w:tcW w:type="dxa" w:w="843"/>
                  <w:tcBorders>
                    <w:top w:val="non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5分钟内响应</w:t>
                  </w:r>
                </w:p>
              </w:tc>
              <w:tc>
                <w:tcPr>
                  <w:tcW w:type="dxa" w:w="779"/>
                  <w:tcBorders>
                    <w:top w:val="non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60分钟</w:t>
                  </w:r>
                </w:p>
              </w:tc>
              <w:tc>
                <w:tcPr>
                  <w:tcW w:type="dxa" w:w="779"/>
                  <w:tcBorders>
                    <w:top w:val="non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120分钟</w:t>
                  </w:r>
                </w:p>
              </w:tc>
              <w:tc>
                <w:tcPr>
                  <w:tcW w:type="dxa" w:w="843"/>
                  <w:tcBorders>
                    <w:top w:val="none" w:color="000000" w:sz="4"/>
                    <w:left w:val="single" w:color="000000" w:sz="4"/>
                    <w:bottom w:val="single" w:color="000000" w:sz="4"/>
                    <w:right w:val="single" w:color="000000" w:sz="4"/>
                  </w:tcBorders>
                  <w:tcMar>
                    <w:top w:type="dxa" w:w="120"/>
                    <w:left w:type="dxa" w:w="120"/>
                    <w:bottom w:type="dxa" w:w="120"/>
                    <w:right w:type="dxa" w:w="120"/>
                  </w:tcMar>
                  <w:vAlign w:val="top"/>
                </w:tcPr>
                <w:p>
                  <w:pPr>
                    <w:pStyle w:val="null3"/>
                    <w:jc w:val="center"/>
                  </w:pPr>
                  <w:r>
                    <w:rPr>
                      <w:rFonts w:ascii="仿宋_GB2312" w:hAnsi="仿宋_GB2312" w:cs="仿宋_GB2312" w:eastAsia="仿宋_GB2312"/>
                      <w:sz w:val="24"/>
                    </w:rPr>
                    <w:t>48小时</w:t>
                  </w:r>
                </w:p>
              </w:tc>
            </w:tr>
          </w:tbl>
          <w:p>
            <w:pPr>
              <w:pStyle w:val="null3"/>
              <w:spacing w:before="240" w:after="60"/>
              <w:jc w:val="both"/>
              <w:outlineLvl w:val="5"/>
            </w:pPr>
            <w:r>
              <w:rPr>
                <w:rFonts w:ascii="仿宋_GB2312" w:hAnsi="仿宋_GB2312" w:cs="仿宋_GB2312" w:eastAsia="仿宋_GB2312"/>
                <w:sz w:val="24"/>
                <w:b/>
              </w:rPr>
              <w:t>(3)</w:t>
            </w:r>
            <w:r>
              <w:rPr>
                <w:rFonts w:ascii="仿宋_GB2312" w:hAnsi="仿宋_GB2312" w:cs="仿宋_GB2312" w:eastAsia="仿宋_GB2312"/>
                <w:sz w:val="24"/>
                <w:b/>
              </w:rPr>
              <w:t>模板审核支持</w:t>
            </w:r>
          </w:p>
          <w:p>
            <w:pPr>
              <w:pStyle w:val="null3"/>
              <w:ind w:firstLine="480"/>
              <w:jc w:val="both"/>
            </w:pPr>
            <w:r>
              <w:rPr>
                <w:rFonts w:ascii="仿宋_GB2312" w:hAnsi="仿宋_GB2312" w:cs="仿宋_GB2312" w:eastAsia="仿宋_GB2312"/>
                <w:sz w:val="24"/>
              </w:rPr>
              <w:t>协助</w:t>
            </w:r>
            <w:r>
              <w:rPr>
                <w:rFonts w:ascii="仿宋_GB2312" w:hAnsi="仿宋_GB2312" w:cs="仿宋_GB2312" w:eastAsia="仿宋_GB2312"/>
                <w:sz w:val="21"/>
              </w:rPr>
              <w:t>我中心</w:t>
            </w:r>
            <w:r>
              <w:rPr>
                <w:rFonts w:ascii="仿宋_GB2312" w:hAnsi="仿宋_GB2312" w:cs="仿宋_GB2312" w:eastAsia="仿宋_GB2312"/>
                <w:sz w:val="24"/>
              </w:rPr>
              <w:t>高效完成运营商短信模板的报备和审核，承诺模板审核周期</w:t>
            </w:r>
            <w:r>
              <w:rPr>
                <w:rFonts w:ascii="仿宋_GB2312" w:hAnsi="仿宋_GB2312" w:cs="仿宋_GB2312" w:eastAsia="仿宋_GB2312"/>
                <w:sz w:val="24"/>
              </w:rPr>
              <w:t>≤3个工作日。</w:t>
            </w:r>
          </w:p>
          <w:p>
            <w:pPr>
              <w:pStyle w:val="null3"/>
              <w:spacing w:before="240" w:after="60"/>
              <w:jc w:val="both"/>
              <w:outlineLvl w:val="5"/>
            </w:pPr>
            <w:r>
              <w:rPr>
                <w:rFonts w:ascii="仿宋_GB2312" w:hAnsi="仿宋_GB2312" w:cs="仿宋_GB2312" w:eastAsia="仿宋_GB2312"/>
                <w:sz w:val="24"/>
                <w:b/>
              </w:rPr>
              <w:t>(4)</w:t>
            </w:r>
            <w:r>
              <w:rPr>
                <w:rFonts w:ascii="仿宋_GB2312" w:hAnsi="仿宋_GB2312" w:cs="仿宋_GB2312" w:eastAsia="仿宋_GB2312"/>
                <w:sz w:val="24"/>
                <w:b/>
              </w:rPr>
              <w:t>文档与培训</w:t>
            </w:r>
          </w:p>
          <w:p>
            <w:pPr>
              <w:pStyle w:val="null3"/>
              <w:ind w:firstLine="480"/>
              <w:jc w:val="both"/>
            </w:pPr>
            <w:r>
              <w:rPr>
                <w:rFonts w:ascii="仿宋_GB2312" w:hAnsi="仿宋_GB2312" w:cs="仿宋_GB2312" w:eastAsia="仿宋_GB2312"/>
                <w:sz w:val="24"/>
              </w:rPr>
              <w:t>提供完整的</w:t>
            </w:r>
            <w:r>
              <w:rPr>
                <w:rFonts w:ascii="仿宋_GB2312" w:hAnsi="仿宋_GB2312" w:cs="仿宋_GB2312" w:eastAsia="仿宋_GB2312"/>
                <w:sz w:val="24"/>
              </w:rPr>
              <w:t>API文档、接入指南、最佳实践文档。提供必要的接入培训和技术咨询。</w:t>
            </w:r>
          </w:p>
          <w:p>
            <w:pPr>
              <w:pStyle w:val="null3"/>
              <w:spacing w:before="285" w:after="285"/>
              <w:jc w:val="both"/>
              <w:outlineLvl w:val="4"/>
            </w:pPr>
            <w:r>
              <w:rPr>
                <w:rFonts w:ascii="仿宋_GB2312" w:hAnsi="仿宋_GB2312" w:cs="仿宋_GB2312" w:eastAsia="仿宋_GB2312"/>
                <w:sz w:val="24"/>
                <w:b/>
              </w:rPr>
              <w:t>8.</w:t>
            </w:r>
            <w:r>
              <w:rPr>
                <w:rFonts w:ascii="仿宋_GB2312" w:hAnsi="仿宋_GB2312" w:cs="仿宋_GB2312" w:eastAsia="仿宋_GB2312"/>
                <w:sz w:val="24"/>
                <w:b/>
              </w:rPr>
              <w:t>其他要求</w:t>
            </w:r>
          </w:p>
          <w:p>
            <w:pPr>
              <w:pStyle w:val="null3"/>
              <w:spacing w:before="240" w:after="60"/>
              <w:jc w:val="both"/>
              <w:outlineLvl w:val="5"/>
            </w:pPr>
            <w:r>
              <w:rPr>
                <w:rFonts w:ascii="仿宋_GB2312" w:hAnsi="仿宋_GB2312" w:cs="仿宋_GB2312" w:eastAsia="仿宋_GB2312"/>
                <w:sz w:val="24"/>
                <w:b/>
              </w:rPr>
              <w:t>(1)</w:t>
            </w:r>
            <w:r>
              <w:rPr>
                <w:rFonts w:ascii="仿宋_GB2312" w:hAnsi="仿宋_GB2312" w:cs="仿宋_GB2312" w:eastAsia="仿宋_GB2312"/>
                <w:sz w:val="24"/>
                <w:b/>
              </w:rPr>
              <w:t>知识产权要求</w:t>
            </w:r>
          </w:p>
          <w:p>
            <w:pPr>
              <w:pStyle w:val="null3"/>
              <w:ind w:firstLine="480"/>
              <w:jc w:val="both"/>
            </w:pPr>
            <w:r>
              <w:rPr>
                <w:rFonts w:ascii="仿宋_GB2312" w:hAnsi="仿宋_GB2312" w:cs="仿宋_GB2312" w:eastAsia="仿宋_GB2312"/>
                <w:sz w:val="24"/>
              </w:rPr>
              <w:t>1、供应商应保证所提供的服务或其任何一部分均不会侵犯任何第三方的专利权、商标权或著作权或其他知识产权、商业秘密等权利。若发生侵权，供应商应负责解决纠纷并赔偿采购人因此遭受的全部损失。</w:t>
            </w:r>
          </w:p>
          <w:p>
            <w:pPr>
              <w:pStyle w:val="null3"/>
              <w:ind w:firstLine="480"/>
              <w:jc w:val="both"/>
            </w:pPr>
            <w:r>
              <w:rPr>
                <w:rFonts w:ascii="仿宋_GB2312" w:hAnsi="仿宋_GB2312" w:cs="仿宋_GB2312" w:eastAsia="仿宋_GB2312"/>
                <w:sz w:val="24"/>
              </w:rPr>
              <w:t>2、供应商为履行协议所形成的资料、数据、软件开发源代码等成果及其他任何附加成果的知识产权和使用权均属采购人所有，采购人负有保密义务，并对此项目拥有最终解释权。</w:t>
            </w:r>
          </w:p>
          <w:p>
            <w:pPr>
              <w:pStyle w:val="null3"/>
              <w:ind w:firstLine="480"/>
              <w:jc w:val="both"/>
            </w:pPr>
            <w:r>
              <w:rPr>
                <w:rFonts w:ascii="仿宋_GB2312" w:hAnsi="仿宋_GB2312" w:cs="仿宋_GB2312" w:eastAsia="仿宋_GB2312"/>
                <w:sz w:val="24"/>
              </w:rPr>
              <w:t>3、供应商应保证所提供的服务的所有权和知识产权无任何抵押、查封等产权瑕疵，如有产权瑕疵，视为供应商违约，并应负担由此产生的一切损失。</w:t>
            </w:r>
          </w:p>
          <w:p>
            <w:pPr>
              <w:pStyle w:val="null3"/>
              <w:ind w:firstLine="480"/>
              <w:jc w:val="both"/>
            </w:pPr>
            <w:r>
              <w:rPr>
                <w:rFonts w:ascii="仿宋_GB2312" w:hAnsi="仿宋_GB2312" w:cs="仿宋_GB2312" w:eastAsia="仿宋_GB2312"/>
                <w:sz w:val="24"/>
              </w:rPr>
              <w:t>4、项目实施过程中，如果供应商使用自有或第三方知识成果的，供应商需提供开发接口及开发手册等技术资料，采购人有权基于招标文件约定合法使用，且该授权永久合法有效并能够满足项目需要（包括采购人委托第三方在该项目后续开发中的使用权）。</w:t>
            </w:r>
          </w:p>
          <w:p>
            <w:pPr>
              <w:pStyle w:val="null3"/>
              <w:spacing w:before="240" w:after="60"/>
              <w:jc w:val="both"/>
              <w:outlineLvl w:val="5"/>
            </w:pPr>
            <w:r>
              <w:rPr>
                <w:rFonts w:ascii="仿宋_GB2312" w:hAnsi="仿宋_GB2312" w:cs="仿宋_GB2312" w:eastAsia="仿宋_GB2312"/>
                <w:sz w:val="24"/>
                <w:b/>
              </w:rPr>
              <w:t>(2)</w:t>
            </w:r>
            <w:r>
              <w:rPr>
                <w:rFonts w:ascii="仿宋_GB2312" w:hAnsi="仿宋_GB2312" w:cs="仿宋_GB2312" w:eastAsia="仿宋_GB2312"/>
                <w:sz w:val="24"/>
                <w:b/>
              </w:rPr>
              <w:t>保密要求</w:t>
            </w:r>
          </w:p>
          <w:p>
            <w:pPr>
              <w:pStyle w:val="null3"/>
              <w:ind w:firstLine="480"/>
              <w:jc w:val="both"/>
            </w:pPr>
            <w:r>
              <w:rPr>
                <w:rFonts w:ascii="仿宋_GB2312" w:hAnsi="仿宋_GB2312" w:cs="仿宋_GB2312" w:eastAsia="仿宋_GB2312"/>
                <w:sz w:val="24"/>
              </w:rPr>
              <w:t>1、供应商应当主动对直接或间接从采购人获得的保密信息承担保密业务，对于采购人未主动对外公布的信息，未经采购人以纸质书面形式同意，不得泄露。</w:t>
            </w:r>
          </w:p>
          <w:p>
            <w:pPr>
              <w:pStyle w:val="null3"/>
              <w:ind w:firstLine="480"/>
              <w:jc w:val="both"/>
            </w:pPr>
            <w:r>
              <w:rPr>
                <w:rFonts w:ascii="仿宋_GB2312" w:hAnsi="仿宋_GB2312" w:cs="仿宋_GB2312" w:eastAsia="仿宋_GB2312"/>
                <w:sz w:val="24"/>
              </w:rPr>
              <w:t>2、保密信息包括但不限于：</w:t>
            </w:r>
          </w:p>
          <w:p>
            <w:pPr>
              <w:pStyle w:val="null3"/>
              <w:ind w:firstLine="357"/>
              <w:jc w:val="both"/>
            </w:pPr>
            <w:r>
              <w:rPr>
                <w:rFonts w:ascii="仿宋_GB2312" w:hAnsi="仿宋_GB2312" w:cs="仿宋_GB2312" w:eastAsia="仿宋_GB2312"/>
                <w:sz w:val="24"/>
              </w:rPr>
              <w:t>1）与项目有关的任何/所有协议、正式文书、往来传真或邮件以及任何形式的工作成果；</w:t>
            </w:r>
          </w:p>
          <w:p>
            <w:pPr>
              <w:pStyle w:val="null3"/>
              <w:ind w:firstLine="357"/>
              <w:jc w:val="both"/>
            </w:pPr>
            <w:r>
              <w:rPr>
                <w:rFonts w:ascii="仿宋_GB2312" w:hAnsi="仿宋_GB2312" w:cs="仿宋_GB2312" w:eastAsia="仿宋_GB2312"/>
                <w:sz w:val="24"/>
              </w:rPr>
              <w:t>2）采购人资料、平台信息、账号信息、工作计划、工作程序、图纸、专有方法、模式模板、任何形式文件、访谈记录、现场实测数据、咨询及其他资料；</w:t>
            </w:r>
          </w:p>
          <w:p>
            <w:pPr>
              <w:pStyle w:val="null3"/>
              <w:ind w:firstLine="357"/>
              <w:jc w:val="both"/>
            </w:pPr>
            <w:r>
              <w:rPr>
                <w:rFonts w:ascii="仿宋_GB2312" w:hAnsi="仿宋_GB2312" w:cs="仿宋_GB2312" w:eastAsia="仿宋_GB2312"/>
                <w:sz w:val="24"/>
              </w:rPr>
              <w:t>3）服务运营管理过程中涉及的各类数据、信息，利用数据、特定算法加工处理形成的数据集、接口、模型、报告、解决方案以及其他形态的数据产品和服务；</w:t>
            </w:r>
          </w:p>
          <w:p>
            <w:pPr>
              <w:pStyle w:val="null3"/>
              <w:ind w:firstLine="357"/>
              <w:jc w:val="both"/>
            </w:pPr>
            <w:r>
              <w:rPr>
                <w:rFonts w:ascii="仿宋_GB2312" w:hAnsi="仿宋_GB2312" w:cs="仿宋_GB2312" w:eastAsia="仿宋_GB2312"/>
                <w:sz w:val="24"/>
              </w:rPr>
              <w:t>4）属于第三方但采购人承担保密义务的信息；</w:t>
            </w:r>
          </w:p>
          <w:p>
            <w:pPr>
              <w:pStyle w:val="null3"/>
              <w:ind w:firstLine="357"/>
              <w:jc w:val="both"/>
            </w:pPr>
            <w:r>
              <w:rPr>
                <w:rFonts w:ascii="仿宋_GB2312" w:hAnsi="仿宋_GB2312" w:cs="仿宋_GB2312" w:eastAsia="仿宋_GB2312"/>
                <w:sz w:val="24"/>
              </w:rPr>
              <w:t>5）其他尽到审慎义务的人判断应予保密的信息。</w:t>
            </w:r>
          </w:p>
          <w:p>
            <w:pPr>
              <w:pStyle w:val="null3"/>
              <w:ind w:firstLine="480"/>
              <w:jc w:val="both"/>
            </w:pPr>
            <w:r>
              <w:rPr>
                <w:rFonts w:ascii="仿宋_GB2312" w:hAnsi="仿宋_GB2312" w:cs="仿宋_GB2312" w:eastAsia="仿宋_GB2312"/>
                <w:sz w:val="24"/>
              </w:rPr>
              <w:t>3、供应商应当采取充分、必要、有效、合理的措施对供应商、供应商相关人员、供应商关联方所知晓的保密信息严格保密。对于未主动对外公布的信息，未经采购人书面许可，不得以任何形式直接或间接向第三方给予、提供、传递、传达、泄露，不得允许（包括出借、赠与、出租、转让等行为）或协助任何第三人、自己本人使用保密信息，不得用于其他用途。</w:t>
            </w:r>
          </w:p>
          <w:p>
            <w:pPr>
              <w:pStyle w:val="null3"/>
              <w:ind w:firstLine="480"/>
              <w:jc w:val="both"/>
            </w:pPr>
            <w:r>
              <w:rPr>
                <w:rFonts w:ascii="仿宋_GB2312" w:hAnsi="仿宋_GB2312" w:cs="仿宋_GB2312" w:eastAsia="仿宋_GB2312"/>
                <w:sz w:val="24"/>
              </w:rPr>
              <w:t>4、供应商应当采取一切合理的保护措施，防止保密信息在未经授权的情况下被披露或传播。若发现保密信息泄露，供应商应第一时间通知采购人，在合法、合规的前提下，立即采取补救措施使损失降到最低。此外，供应商应承担由此引起的法律责任和经济责任，包括但不限于违约金、赔偿因信息泄露产生的支出和所有损失。供应商相关人员、供应商关联方违反保密业务，供应商承担连带责任。</w:t>
            </w:r>
          </w:p>
          <w:p>
            <w:pPr>
              <w:pStyle w:val="null3"/>
              <w:ind w:firstLine="480"/>
              <w:jc w:val="both"/>
            </w:pPr>
            <w:r>
              <w:rPr>
                <w:rFonts w:ascii="仿宋_GB2312" w:hAnsi="仿宋_GB2312" w:cs="仿宋_GB2312" w:eastAsia="仿宋_GB2312"/>
                <w:sz w:val="24"/>
              </w:rPr>
              <w:t>5、供应商的保密义务自供应商、供应商相关人员、供应商关联方参与数据运行管理工作之日开始，至采购人书面通知供应商解除保密义务或者保密信息成为公开信息之日止。供应商和供应商关联方合同终止、撤销、解除、履行完毕以及供应商相关人员是否在职，均不影响其保密义务承担。</w:t>
            </w:r>
          </w:p>
          <w:p>
            <w:pPr>
              <w:pStyle w:val="null3"/>
              <w:ind w:firstLine="480"/>
              <w:jc w:val="both"/>
            </w:pPr>
            <w:r>
              <w:rPr>
                <w:rFonts w:ascii="仿宋_GB2312" w:hAnsi="仿宋_GB2312" w:cs="仿宋_GB2312" w:eastAsia="仿宋_GB2312"/>
                <w:sz w:val="24"/>
              </w:rPr>
              <w:t>6、违反上述保密义务的，供应商应向采购人支付项目合同总价款10%的违约金，供应商违反保密义务涉嫌违法违规的，按照《中华人民共和国保守国家秘密法》、《中华人民共和国数据安全法》处理。</w:t>
            </w:r>
          </w:p>
          <w:p>
            <w:pPr>
              <w:pStyle w:val="null3"/>
              <w:ind w:firstLine="480"/>
              <w:jc w:val="both"/>
            </w:pPr>
            <w:r>
              <w:rPr>
                <w:rFonts w:ascii="仿宋_GB2312" w:hAnsi="仿宋_GB2312" w:cs="仿宋_GB2312" w:eastAsia="仿宋_GB2312"/>
                <w:sz w:val="24"/>
              </w:rPr>
              <w:t>7、供应商应确保在提供服务过程中保护采购人的数据和文档，不得未经授权访问、修改、披露、利用、转移、转让、销毁最终用户的数据。服务终止时，供应商应按最终用户要求做好数据、文档等资源的移交和清除工作。</w:t>
            </w:r>
          </w:p>
          <w:p>
            <w:pPr>
              <w:pStyle w:val="null3"/>
              <w:ind w:firstLine="480"/>
              <w:jc w:val="both"/>
            </w:pPr>
            <w:r>
              <w:rPr>
                <w:rFonts w:ascii="仿宋_GB2312" w:hAnsi="仿宋_GB2312" w:cs="仿宋_GB2312" w:eastAsia="仿宋_GB2312"/>
                <w:sz w:val="24"/>
              </w:rPr>
              <w:t>8、供应商需对项目实施过程中涉及的业务数据或信息严格保守秘密。所有资料、技术文档、业务信息数据应妥善保管，不得遗失、转借、复印拷贝、修改、删除，不得以任何形式向第三方透露，一旦发生，依法追究公司及个人相关法律责任。</w:t>
            </w:r>
          </w:p>
          <w:p>
            <w:pPr>
              <w:pStyle w:val="null3"/>
              <w:jc w:val="left"/>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陕西省政务大数据服务中心指定地点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1、采购文件要求签字或盖章之处，非法人单位均参照执行。 2、供应商需要在线提交所有通过电子化交易平台实施的政府采购项目的响应文件，同时，线下提交纸质响应文件正本壹份、副本贰份、电子版壹份（U盘壹份）。 3、纸质响应文件正本、副本、电子版，标明供应商名称分开密封递交（响应文件采用双面打印）。 4、线下纸质文件递交截止时间：同在线递交电子响应文件截止时间一致；线下纸质文件递交地点：西安市雁展路1111号莱安中心T6-15层。如需邮寄响应文件，仅接受顺丰速运（联系人：杭琨、联系电话：029-81206622-825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项目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中小企业声明函 保证金交纳凭证保函.docx 供应商承诺书.docx 商务条款响应说明.docx 响应文件封面 分项报价表.docx 残疾人福利性单位声明函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响应方案说明.docx 中小企业声明函 保证金交纳凭证保函.docx 供应商承诺书.docx 商务条款响应说明.docx 响应文件封面 分项报价表.docx 残疾人福利性单位声明函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响应方案说明.docx 分项报价表.docx 标的清单 服务内容及服务要求应答表.docx 供应商资格证明文件.docx 响应函 供应商承诺书.docx 商务条款响应说明.docx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提出针对本项目的整体理解思路及建议，内容包括：①工作思路；②工作原则；③重难点分析。 方案各项内容全面详细、阐述条理清晰、对评审内容中的各项要求有详细描述及说明得9分，每有一项缺项扣3分，每有一项内容存在缺陷，每个缺陷扣1分，扣完为止。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提出针对本项目的总体服务方案，内容包括：①项目需求分析；②技术解决方案；③项目管理方案；④项目实施计划；⑤业务运维方案。 方案各项内容全面详细、阐述条理清晰、对评审内容中的各项要求有详细描述及说明得30分，每有一项缺项扣6分，每有一项内容存在缺陷，每个缺陷扣2分，扣完为止。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提出针对本项目的安全保障措施方案，内容包括：①平台安全保障；②短信发送监控流程；③短信内容的管控措施；④安全管理制度；⑤客户投诉管控；⑥短信数据传输安全等。 方案各项内容全面详细、阐述条理清晰、对评审内容中的各项要求有详细描述及说明得12分，每有一项缺项扣2分，每有一项内容存在缺陷，每个缺陷扣1分，扣完为止。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提出针对本项目的人员配置方案，内容包括：①拟投入的服务团队人员结构；②人员分工及职责；③人员管理制度。 方案各项内容全面详细、阐述条理清晰、对评审内容中的各项要求有详细描述及说明得9分，每有一项缺项扣3分，每有一项内容存在缺陷，每个缺陷扣1分，扣完为止。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应急保障措施及故障处理方案</w:t>
            </w:r>
          </w:p>
        </w:tc>
        <w:tc>
          <w:tcPr>
            <w:tcW w:type="dxa" w:w="2492"/>
          </w:tcPr>
          <w:p>
            <w:pPr>
              <w:pStyle w:val="null3"/>
            </w:pPr>
            <w:r>
              <w:rPr>
                <w:rFonts w:ascii="仿宋_GB2312" w:hAnsi="仿宋_GB2312" w:cs="仿宋_GB2312" w:eastAsia="仿宋_GB2312"/>
              </w:rPr>
              <w:t>提出针对本项目的应急保障措施及故障处理方案，内容包括：①应急措施与解决方案；②故障诊断、故障恢复；③响应时间；④后期处置及处理承诺。 方案各项内容全面详细、阐述条理清晰、对评审内容中的各项要求有详细描述及说明得12分，每有一项缺项扣3分，每有一项内容存在缺陷，每个缺陷扣1分，扣完为止。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供应商具备以下证书： ISO9001质量管理体系认证证书；ISO27001信息安全管理体系认证证书；ISO20000信息技术服务管理体系认证证书；ISO27701 隐私信息管理体系认证证书。每具备一项得2分，满分8分。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供应商提供2022年1月1日至今（以合同签订日期为准）类似项目的业绩合同，每份计2分，满分10分。 注：须提供项目合同或协议的关键页（包括但不限于合同首尾页、项目内容页，签字盖章页，签订日期页）扫描件，加盖公章，否则不计分。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小型、微型企业和监狱企业及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