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版本号：LZBA2025-1137.1B120250807001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安防系统设备采购安装项目(二次)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LZBA2025-1137.1B1</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安防系统设备采购安装项目(二次)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LZBA2025-1137.1B1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安防系统设备采购安装项目(二次)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商洛学院安防系统设备采购安装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税收缴纳凭证及社会保险缴纳的凭证：供应商在本项目投标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近年2023年或2024年经审计的财务报告（事业法人可提供部门决算报告）或基本开户银行出具的资信证明或政府采购专业担保机构出具的投标担保函，供应商需在项目电子化交易系统中按要求上传相应证明文件。</w:t>
      </w:r>
    </w:p>
    <w:p>
      <w:pPr>
        <w:pStyle w:val="null3"/>
      </w:pPr>
      <w:r>
        <w:rPr>
          <w:rFonts w:ascii="仿宋_GB2312" w:hAnsi="仿宋_GB2312" w:cs="仿宋_GB2312" w:eastAsia="仿宋_GB2312"/>
        </w:rPr>
        <w:t>4、履行合同所必需的设备和专业技术能力书面声明函：具有履行合同所必需的设备和专业技术能力书面声明函，供应商需在项目电子化交易系统中按要求上传相应证明文件并进行电子签章。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）政府采购严重违法失信行为记录名单中被财政部门禁止参加政府采购活动的供应商：采购人或采购代理机构在开标当日通过“信用中国” 网站(www. creditchina. gov.cn)、中国政府采购网 (www.ccgp.gov.cn)查询相关主体信用记录网页截图保存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陕西省商洛市商州区北新街10号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0914-2329412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王翠翠 刘婧 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采购包1：482,300.00元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说明：合同签订前，乙方需向甲方交纳合同金额5%的履约保证金，待合同履行结束，乙方提出申请，甲方同意后无息退回。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 857号）的有关规定标准下浮20%收取，代理服务费单标段不足5000.00元，按5000.00元计取，由中标（成交）单位向招标代理机构一次付清代理服务费。 2. 招标代理服务费以转账或现金形式交纳，服务费缴纳帐号如下： 收款单位：龙寰项目管理咨询有限公司 开 户 行：平安银行西安高新路支行 账 号：30201278017091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商洛学院</w:t>
      </w:r>
      <w:r>
        <w:rPr>
          <w:rFonts w:ascii="仿宋_GB2312" w:hAnsi="仿宋_GB2312" w:cs="仿宋_GB2312" w:eastAsia="仿宋_GB2312"/>
        </w:rPr>
        <w:t>负责解释。除上述招标文件内容，其他内容由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（一）现场验收：产品及其备附件到达采购人指定地点后，采购人根据合同要求，在供应商和采购人相关负责人双方同时在场的情况下，进行验收，确认产地、规格、型号和数量。 （二）安装调试：供应商应配合采购人的工期要求，负责在现场对产品进行安装、调试和试运行，直至验收合格。供应商应提供全部安装、调试过程中所需的材料、设施设备、人工等。试运行应当在采购人的监督下进行。 （三）最终验收：产品安装调试和运行后，由供应商向采购人递交产品安装调试记录和竣工通知书，经采购人确认后，组织供应商进行系统验收（必要时采购人可委托具有相关资质的第三方检测机构/技术专家对产品进行系统验收，需要国家法定检验部门进行检验或验收的由供应商负责联系）。验收合格后，填写政府采购项目验收单（一式柒份）作为对产品的最终认可。 （四）验收依据 1、招标文件、投标文件、澄清表（函）； 2、本合同及附件文本； 3、合同签订时国家及行业现行的标准和技术规范。 （五）中标供应商应向采购人提交项目实施过程中的所有资料，以便采购人日后管理和维护。</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联系电话：029-88228899-616</w:t>
      </w:r>
    </w:p>
    <w:p>
      <w:pPr>
        <w:pStyle w:val="null3"/>
      </w:pPr>
      <w:r>
        <w:rPr>
          <w:rFonts w:ascii="仿宋_GB2312" w:hAnsi="仿宋_GB2312" w:cs="仿宋_GB2312" w:eastAsia="仿宋_GB2312"/>
        </w:rPr>
        <w:t>地址：西安市高新区太白南路181号西部电子社区A座A区501室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商洛学院安防系统设备采购安装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482,300.00</w:t>
      </w:r>
    </w:p>
    <w:p>
      <w:pPr>
        <w:pStyle w:val="null3"/>
      </w:pPr>
      <w:r>
        <w:rPr>
          <w:rFonts w:ascii="仿宋_GB2312" w:hAnsi="仿宋_GB2312" w:cs="仿宋_GB2312" w:eastAsia="仿宋_GB2312"/>
        </w:rPr>
        <w:t>采购包最高限价（元）: 482,300.00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监控安防系统维护更新，包含夜视球型摄像机、枪式摄像机、视频监控存储服务器、光电交换机等设备一批。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482,300.00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标的名称：监控安防系统维护更新，包含夜视球型摄像机、枪式摄像机、视频监控存储服务器、光电交换机等设备一批。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质保期：</w:t>
            </w:r>
            <w:r>
              <w:rPr>
                <w:rFonts w:ascii="仿宋_GB2312" w:hAnsi="仿宋_GB2312" w:cs="仿宋_GB2312" w:eastAsia="仿宋_GB2312"/>
                <w:sz w:val="20"/>
              </w:rPr>
              <w:t>至少两年</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交货时间：</w:t>
            </w:r>
            <w:r>
              <w:rPr>
                <w:rFonts w:ascii="仿宋_GB2312" w:hAnsi="仿宋_GB2312" w:cs="仿宋_GB2312" w:eastAsia="仿宋_GB2312"/>
                <w:sz w:val="20"/>
              </w:rPr>
              <w:t>2025年10月15日之前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46"/>
              <w:gridCol w:w="355"/>
              <w:gridCol w:w="1160"/>
              <w:gridCol w:w="430"/>
              <w:gridCol w:w="351"/>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序号</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名称</w:t>
                  </w:r>
                </w:p>
              </w:tc>
              <w:tc>
                <w:tcPr>
                  <w:tcW w:type="dxa" w:w="1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规格参数</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单位</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b/>
                      <w:color w:val="000000"/>
                    </w:rPr>
                    <w:t>数量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星光夜视</w:t>
                  </w:r>
                </w:p>
                <w:p>
                  <w:pPr>
                    <w:pStyle w:val="null3"/>
                    <w:jc w:val="left"/>
                  </w:pPr>
                  <w:r>
                    <w:rPr>
                      <w:rFonts w:ascii="仿宋_GB2312" w:hAnsi="仿宋_GB2312" w:cs="仿宋_GB2312" w:eastAsia="仿宋_GB2312"/>
                      <w:sz w:val="16"/>
                      <w:color w:val="000000"/>
                    </w:rPr>
                    <w:t>球型摄像机</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内置</w:t>
                  </w:r>
                  <w:r>
                    <w:rPr>
                      <w:rFonts w:ascii="仿宋_GB2312" w:hAnsi="仿宋_GB2312" w:cs="仿宋_GB2312" w:eastAsia="仿宋_GB2312"/>
                      <w:sz w:val="16"/>
                      <w:color w:val="000000"/>
                    </w:rPr>
                    <w:t>GPU芯片，支持深度学习算法，支持人脸检测；支持抓拍；支持人脸增强，支持绊线入侵；支持区域入侵；支持穿越围栏；支持徘徊检测；支持物品遗留；支持物品搬移；支持快速移动；支持停车检测；支持人员聚集；支持人车分类报警；支持联动跟踪，支持≥25倍光学变倍，≥16倍数字变倍，≥800万像素，≥1/2.8英寸CMOS传感器，支持星光级超低照度，支持H.265编码，内置≥150米红外灯补光，水平方向360°，支持≥300个预置位，≥8条巡航路径，≥5条巡迹路径，≥IP66防护等级，≥6000V防雷、防浪涌和防突波保护；</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全彩枪式</w:t>
                  </w:r>
                </w:p>
                <w:p>
                  <w:pPr>
                    <w:pStyle w:val="null3"/>
                    <w:jc w:val="left"/>
                  </w:pPr>
                  <w:r>
                    <w:rPr>
                      <w:rFonts w:ascii="仿宋_GB2312" w:hAnsi="仿宋_GB2312" w:cs="仿宋_GB2312" w:eastAsia="仿宋_GB2312"/>
                      <w:sz w:val="16"/>
                      <w:color w:val="000000"/>
                    </w:rPr>
                    <w:t>摄像机</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传感器类型</w:t>
                  </w:r>
                  <w:r>
                    <w:rPr>
                      <w:rFonts w:ascii="仿宋_GB2312" w:hAnsi="仿宋_GB2312" w:cs="仿宋_GB2312" w:eastAsia="仿宋_GB2312"/>
                      <w:sz w:val="16"/>
                      <w:color w:val="000000"/>
                    </w:rPr>
                    <w:t>: ≥1/2.7英寸CMOS,像素: ≥600万,分辨率: ≥3200×1800,扫描方式: 逐行扫描,电子快门: 1/3s~1/100000s（可手动或自动调节）,照度: ≤0.002lux（彩色模式）；≤0.0002lux（黑白模式）；0lux（补光灯开启）,补光距离:≥ 60m（红外）；≥30m（暖光）,补光灯:≥ 2颗（红外灯）；≥2颗（暖光灯）,视场角: 水平：≥92°；垂直：≥45°；对角：≥110°l光圈控制: 固定光圈,近摄距:</w:t>
                  </w:r>
                  <w:r>
                    <w:rPr>
                      <w:rFonts w:ascii="仿宋_GB2312" w:hAnsi="仿宋_GB2312" w:cs="仿宋_GB2312" w:eastAsia="仿宋_GB2312"/>
                      <w:sz w:val="16"/>
                    </w:rPr>
                    <w:t>≤1.8m</w:t>
                  </w:r>
                  <w:r>
                    <w:rPr>
                      <w:rFonts w:ascii="仿宋_GB2312" w:hAnsi="仿宋_GB2312" w:cs="仿宋_GB2312" w:eastAsia="仿宋_GB2312"/>
                      <w:sz w:val="16"/>
                      <w:color w:val="000000"/>
                    </w:rPr>
                    <w:t xml:space="preserve">,深度智能: 支持,周界防范: 绊线入侵；区域入侵,智能检索: </w:t>
                  </w:r>
                  <w:r>
                    <w:rPr>
                      <w:rFonts w:ascii="仿宋_GB2312" w:hAnsi="仿宋_GB2312" w:cs="仿宋_GB2312" w:eastAsia="仿宋_GB2312"/>
                      <w:sz w:val="16"/>
                    </w:rPr>
                    <w:t>可</w:t>
                  </w:r>
                  <w:r>
                    <w:rPr>
                      <w:rFonts w:ascii="仿宋_GB2312" w:hAnsi="仿宋_GB2312" w:cs="仿宋_GB2312" w:eastAsia="仿宋_GB2312"/>
                      <w:sz w:val="16"/>
                      <w:color w:val="000000"/>
                    </w:rPr>
                    <w:t>实现事件录像的二次智能检索、分析和浓缩播放</w:t>
                  </w:r>
                  <w:r>
                    <w:rPr>
                      <w:rFonts w:ascii="仿宋_GB2312" w:hAnsi="仿宋_GB2312" w:cs="仿宋_GB2312" w:eastAsia="仿宋_GB2312"/>
                      <w:sz w:val="16"/>
                      <w:color w:val="000000"/>
                    </w:rPr>
                    <w:t>,视频压缩标准: H.265；H.264；H.264H；H.264B；MJPEG（仅辅码流支持）,背光补偿: 支持,强光抑制: 支持,宽动态: ≥120dB,白平衡: 自动；自然光；路灯；室外；手动；区域自定义,增益控制: 手动;自动,降噪: 3D降噪,图像翻转: 支持,镜像: 支持,隐私遮挡: 4块,内置MIC: 报警事件: 网络断开；IP冲突；非法访问；动态检测；视频遮挡；绊线入侵；区域入侵；音频异常侦测；电压检测；SMD；安全异常,网络接口: 1个（RJ-45网口，支持10M/100M 网络数据）</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5G执法记录仪</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屏幕：</w:t>
                  </w:r>
                  <w:r>
                    <w:rPr>
                      <w:rFonts w:ascii="仿宋_GB2312" w:hAnsi="仿宋_GB2312" w:cs="仿宋_GB2312" w:eastAsia="仿宋_GB2312"/>
                      <w:sz w:val="16"/>
                      <w:color w:val="000000"/>
                    </w:rPr>
                    <w:t>≥2.0英寸，LCD显示屏,单镜头，拍摄角度≥128°,操作系统：Android 7.1或以上,电源：锂电池,工作温度：-30°C至55°C,功能：包括GPS、WIFI、蓝牙、激光定点、循环录影和防摔功能，电池连续工作时间12小时以上，</w:t>
                  </w:r>
                  <w:r>
                    <w:rPr>
                      <w:rFonts w:ascii="仿宋_GB2312" w:hAnsi="仿宋_GB2312" w:cs="仿宋_GB2312" w:eastAsia="仿宋_GB2312"/>
                      <w:sz w:val="16"/>
                      <w:color w:val="000000"/>
                    </w:rPr>
                    <w:t>电池容量：</w:t>
                  </w:r>
                  <w:r>
                    <w:rPr>
                      <w:rFonts w:ascii="仿宋_GB2312" w:hAnsi="仿宋_GB2312" w:cs="仿宋_GB2312" w:eastAsia="仿宋_GB2312"/>
                      <w:sz w:val="16"/>
                      <w:color w:val="000000"/>
                    </w:rPr>
                    <w:t>≥3000</w:t>
                  </w:r>
                  <w:r>
                    <w:rPr>
                      <w:rFonts w:ascii="仿宋_GB2312" w:hAnsi="仿宋_GB2312" w:cs="仿宋_GB2312" w:eastAsia="仿宋_GB2312"/>
                      <w:sz w:val="16"/>
                      <w:color w:val="000000"/>
                    </w:rPr>
                    <w:t>mAh</w:t>
                  </w:r>
                </w:p>
                <w:p>
                  <w:pPr>
                    <w:pStyle w:val="null3"/>
                    <w:jc w:val="left"/>
                  </w:pPr>
                  <w:r>
                    <w:rPr>
                      <w:rFonts w:ascii="仿宋_GB2312" w:hAnsi="仿宋_GB2312" w:cs="仿宋_GB2312" w:eastAsia="仿宋_GB2312"/>
                      <w:sz w:val="16"/>
                      <w:color w:val="000000"/>
                    </w:rPr>
                    <w:t>,备用电池一块。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球形摄像机电源</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工作环境</w:t>
                  </w:r>
                  <w:r>
                    <w:rPr>
                      <w:rFonts w:ascii="仿宋_GB2312" w:hAnsi="仿宋_GB2312" w:cs="仿宋_GB2312" w:eastAsia="仿宋_GB2312"/>
                      <w:sz w:val="16"/>
                      <w:color w:val="000000"/>
                    </w:rPr>
                    <w:t>:-30~70℃； 湿度＜90%的环境应用,能效: V5: CCC,输入: 180~264V,输入端样式: AC输入线350mm,输出: DC24V5A,输出端样式: DC输出端线800mm,防雷: 支持共模4KV,差模2KV</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枪式摄像机电源</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工作环境</w:t>
                  </w:r>
                  <w:r>
                    <w:rPr>
                      <w:rFonts w:ascii="仿宋_GB2312" w:hAnsi="仿宋_GB2312" w:cs="仿宋_GB2312" w:eastAsia="仿宋_GB2312"/>
                      <w:sz w:val="16"/>
                      <w:color w:val="000000"/>
                    </w:rPr>
                    <w:t>: -30~70℃； 湿度＜90%的环境应用,能效: V5: CCC,输入: 180~264V,输入端样式: AC输入线350mm,输出: DC12V2A,输出端样式: DC输出端线800mm,防雷: 支持共模4KV,差模2KV</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70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视频监控专用电源线</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芯数：</w:t>
                  </w:r>
                  <w:r>
                    <w:rPr>
                      <w:rFonts w:ascii="仿宋_GB2312" w:hAnsi="仿宋_GB2312" w:cs="仿宋_GB2312" w:eastAsia="仿宋_GB2312"/>
                      <w:sz w:val="16"/>
                      <w:color w:val="000000"/>
                    </w:rPr>
                    <w:t>2芯，规格：</w:t>
                  </w:r>
                  <w:r>
                    <w:rPr>
                      <w:rFonts w:ascii="仿宋_GB2312" w:hAnsi="仿宋_GB2312" w:cs="仿宋_GB2312" w:eastAsia="仿宋_GB2312"/>
                      <w:sz w:val="16"/>
                      <w:color w:val="000000"/>
                    </w:rPr>
                    <w:t>≥1.5mm²</w:t>
                  </w:r>
                  <w:r>
                    <w:rPr>
                      <w:rFonts w:ascii="仿宋_GB2312" w:hAnsi="仿宋_GB2312" w:cs="仿宋_GB2312" w:eastAsia="仿宋_GB2312"/>
                      <w:sz w:val="16"/>
                      <w:color w:val="000000"/>
                    </w:rPr>
                    <w:t>，产品执行标准</w:t>
                  </w:r>
                  <w:r>
                    <w:rPr>
                      <w:rFonts w:ascii="仿宋_GB2312" w:hAnsi="仿宋_GB2312" w:cs="仿宋_GB2312" w:eastAsia="仿宋_GB2312"/>
                      <w:sz w:val="16"/>
                      <w:color w:val="000000"/>
                    </w:rPr>
                    <w:t>JB8734.3-1998, PVC护套/绝缘,导体为多芯退火裸铜绞合,额定电压为227IEC52（300V/300V） 227IEC53（300V/500V）。</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200m/</w:t>
                  </w:r>
                  <w:r>
                    <w:rPr>
                      <w:rFonts w:ascii="仿宋_GB2312" w:hAnsi="仿宋_GB2312" w:cs="仿宋_GB2312" w:eastAsia="仿宋_GB2312"/>
                      <w:sz w:val="16"/>
                    </w:rPr>
                    <w:t>箱</w:t>
                  </w:r>
                </w:p>
                <w:p>
                  <w:pPr>
                    <w:pStyle w:val="null3"/>
                    <w:jc w:val="center"/>
                  </w:p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超五类室外网线</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rPr>
                    <w:t>国标</w:t>
                  </w:r>
                </w:p>
                <w:p>
                  <w:pPr>
                    <w:pStyle w:val="null3"/>
                    <w:jc w:val="left"/>
                  </w:pPr>
                  <w:r>
                    <w:rPr>
                      <w:rFonts w:ascii="仿宋_GB2312" w:hAnsi="仿宋_GB2312" w:cs="仿宋_GB2312" w:eastAsia="仿宋_GB2312"/>
                      <w:sz w:val="16"/>
                    </w:rPr>
                    <w:t>（</w:t>
                  </w:r>
                  <w:r>
                    <w:rPr>
                      <w:rFonts w:ascii="仿宋_GB2312" w:hAnsi="仿宋_GB2312" w:cs="仿宋_GB2312" w:eastAsia="仿宋_GB2312"/>
                      <w:sz w:val="16"/>
                      <w:color w:val="000000"/>
                    </w:rPr>
                    <w:t>包含地面开槽切路</w:t>
                  </w:r>
                  <w:r>
                    <w:rPr>
                      <w:rFonts w:ascii="仿宋_GB2312" w:hAnsi="仿宋_GB2312" w:cs="仿宋_GB2312" w:eastAsia="仿宋_GB2312"/>
                      <w:sz w:val="16"/>
                      <w:color w:val="000000"/>
                    </w:rPr>
                    <w:t>385米，深度40cm以及铺管穿线、回填；开挖绿化带1550米</w:t>
                  </w:r>
                  <w:r>
                    <w:rPr>
                      <w:rFonts w:ascii="仿宋_GB2312" w:hAnsi="仿宋_GB2312" w:cs="仿宋_GB2312" w:eastAsia="仿宋_GB2312"/>
                      <w:sz w:val="16"/>
                    </w:rPr>
                    <w:t>）</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rPr>
                    <w:t>305m/</w:t>
                  </w:r>
                  <w:r>
                    <w:rPr>
                      <w:rFonts w:ascii="仿宋_GB2312" w:hAnsi="仿宋_GB2312" w:cs="仿宋_GB2312" w:eastAsia="仿宋_GB2312"/>
                      <w:sz w:val="16"/>
                    </w:rPr>
                    <w:t>箱</w:t>
                  </w:r>
                </w:p>
                <w:p>
                  <w:pPr>
                    <w:pStyle w:val="null3"/>
                    <w:jc w:val="center"/>
                  </w:p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58</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b/>
                      <w:color w:val="000000"/>
                    </w:rPr>
                    <w:t>监控专用硬盘</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容量：</w:t>
                  </w:r>
                  <w:r>
                    <w:rPr>
                      <w:rFonts w:ascii="仿宋_GB2312" w:hAnsi="仿宋_GB2312" w:cs="仿宋_GB2312" w:eastAsia="仿宋_GB2312"/>
                      <w:sz w:val="16"/>
                      <w:color w:val="000000"/>
                    </w:rPr>
                    <w:t>8TB</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块</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65</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09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视频监控存储服务器</w:t>
                  </w:r>
                </w:p>
                <w:p>
                  <w:pPr>
                    <w:pStyle w:val="null3"/>
                    <w:jc w:val="left"/>
                  </w:pPr>
                  <w:r>
                    <w:rPr>
                      <w:rFonts w:ascii="仿宋_GB2312" w:hAnsi="仿宋_GB2312" w:cs="仿宋_GB2312" w:eastAsia="仿宋_GB2312"/>
                      <w:sz w:val="16"/>
                      <w:b/>
                      <w:color w:val="000000"/>
                    </w:rPr>
                    <w:t>（核心产品）</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处理器：</w:t>
                  </w:r>
                  <w:r>
                    <w:rPr>
                      <w:rFonts w:ascii="仿宋_GB2312" w:hAnsi="仿宋_GB2312" w:cs="仿宋_GB2312" w:eastAsia="仿宋_GB2312"/>
                      <w:sz w:val="16"/>
                      <w:color w:val="000000"/>
                    </w:rPr>
                    <w:t>64位多核处理器,网络接口：1个 eSATA接口 ,其他接口：1个 SAS接口 ，2个 USB接口 ，1个 RS-232接口,存储：支持48块企业级硬盘，支持硬盘热插拔,电源：2+1冗余电源，电源电压100V~240V，50~60Hz，支持热插拔, 视频流模式：支持视频流直存,编码格式支持：支持 MPEG4 ， MJPEG ， H.264 ， H.265 ， SVAC 等编码格式的前端网络摄像机接入,支持云存储，支持ONVIF、GB/T 28181、RTSP等标准协议；</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套</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光电交换机</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接入电口</w:t>
                  </w:r>
                  <w:r>
                    <w:rPr>
                      <w:rFonts w:ascii="仿宋_GB2312" w:hAnsi="仿宋_GB2312" w:cs="仿宋_GB2312" w:eastAsia="仿宋_GB2312"/>
                      <w:sz w:val="16"/>
                      <w:color w:val="000000"/>
                    </w:rPr>
                    <w:t>:8个, 上行光口:2个, 电口速率:10/100/1000Mbps, 光口速率:1Gbps, 上行光口速率:1Gbps, 电口最大速率:1000Mbps,光口最大速率:1Gbps, 业务端口/槽位描述:Port 1-8:8 × 10/100/1000Base-T; Port 9-10:2 × 1000Base-X;,调试端口:1个Console口,Reset按钮:1个,供电方式:外置单电源，工作电压12VDC，工作电流1A,工作温度:-10℃～+55℃,层级:二层, 交换容量:≥192Gbps,包转发率:14.88Mpps,静态MAC地址个数:256,VLAN虚接口数:10,Flash:32 MByte,RAM大小:2 Gbit,通信标准:IEEE 802.3，IEEE 802.3u，IEEE 802.3x，IEEE 802.3ab，IEEE 802.3z，IEEE 802.3ad</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光纤模块</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传输速率：千兆（</w:t>
                  </w:r>
                  <w:r>
                    <w:rPr>
                      <w:rFonts w:ascii="仿宋_GB2312" w:hAnsi="仿宋_GB2312" w:cs="仿宋_GB2312" w:eastAsia="仿宋_GB2312"/>
                      <w:sz w:val="16"/>
                      <w:color w:val="000000"/>
                    </w:rPr>
                    <w:t>Gigabit）,接口类型：单模单纤光纤接口,传输距离：≥3公里（3km）,接口类型：SC接口,工作波长：1310nm,支持协议：符合IEEE 802.3z标准,电源：外置，DC 5.0V/600mA,输入电压范围：100-240V，最大电压范围:90-264V，额定频率:50/60Hz，额定电流:2A。</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个</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设备箱</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400*300*300（国标）</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台</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45</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PVC</w:t>
                  </w:r>
                </w:p>
                <w:p>
                  <w:pPr>
                    <w:pStyle w:val="null3"/>
                    <w:jc w:val="left"/>
                  </w:pPr>
                  <w:r>
                    <w:rPr>
                      <w:rFonts w:ascii="仿宋_GB2312" w:hAnsi="仿宋_GB2312" w:cs="仿宋_GB2312" w:eastAsia="仿宋_GB2312"/>
                      <w:sz w:val="16"/>
                      <w:color w:val="000000"/>
                    </w:rPr>
                    <w:t>线管</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6"/>
                      <w:color w:val="000000"/>
                    </w:rPr>
                    <w:t>DN:40MM</w:t>
                  </w:r>
                  <w:r>
                    <w:rPr>
                      <w:rFonts w:ascii="仿宋_GB2312" w:hAnsi="仿宋_GB2312" w:cs="仿宋_GB2312" w:eastAsia="仿宋_GB2312"/>
                      <w:sz w:val="16"/>
                      <w:color w:val="000000"/>
                    </w:rPr>
                    <w:t>（国标）</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9000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单模铠装室外光纤</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光纤模式：单模（</w:t>
                  </w:r>
                  <w:r>
                    <w:rPr>
                      <w:rFonts w:ascii="仿宋_GB2312" w:hAnsi="仿宋_GB2312" w:cs="仿宋_GB2312" w:eastAsia="仿宋_GB2312"/>
                      <w:sz w:val="16"/>
                      <w:color w:val="000000"/>
                    </w:rPr>
                    <w:t>SM），芯数：4芯，外护套材料：增强型铝带纵包层绞式光缆。</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米</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8500</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15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数据中心防静电地板</w:t>
                  </w:r>
                </w:p>
              </w:tc>
              <w:tc>
                <w:tcPr>
                  <w:tcW w:type="dxa" w:w="1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规格为</w:t>
                  </w:r>
                  <w:r>
                    <w:rPr>
                      <w:rFonts w:ascii="仿宋_GB2312" w:hAnsi="仿宋_GB2312" w:cs="仿宋_GB2312" w:eastAsia="仿宋_GB2312"/>
                      <w:sz w:val="16"/>
                      <w:color w:val="000000"/>
                    </w:rPr>
                    <w:t>600×600mm，厚度30-55mm，系统电阻1×10^6Ω至1×10^10Ω，承重载荷需满足集中载荷&gt;8880N、均布载荷&gt;12500N/㎡，耐磨性：≥6000转（4级标准）,翘曲度：±0.5%或板厚极限偏差±0.2mm,安装要求：架空高度≥250mm（布线）或≥500mm（空调风库）,需接地处理,附带地铺线架</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平米</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6"/>
                      <w:color w:val="000000"/>
                    </w:rPr>
                    <w:t>28</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2025年10月15日之前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项目建设完成、验收合格后，凭乙方开具的增值税专用发票，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（一）现场验收：产品及其备附件到达采购人指定地点后，采购人根据合同要求，在供应商和采购人相关负责人双方同时在场的情况下，进行验收，确认产地、规格、型号和数量。 （二）安装调试：供应商应配合采购人的工期要求，负责在现场对产品进行安装、调试和试运行，直至验收合格。供应商应提供全部安装、调试过程中所需的材料、设施设备、人工等。试运行应当在采购人的监督下进行。 （三）最终验收：产品安装调试和运行后，由供应商向采购人递交产品安装调试记录和竣工通知书，经采购人确认后，组织供应商进行系统验收（必要时采购人可委托具有相关资质的第三方检测机构/技术专家对产品进行系统验收，需要国家法定检验部门进行检验或验收的由供应商负责联系）。验收合格后，填写政府采购项目验收单（一式柒份）作为对产品的最终认可。 （四）验收依据 1、招标文件、投标文件、澄清表（函）； 2、本合同及附件文本； 3、合同签订时国家及行业现行的标准和技术规范。 （五）中标供应商应向采购人提交项目实施过程中的所有资料，以便采购人日后管理和维护。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 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2.本项目非专门面向中小企业采购。 3.因3.4.4支付约定为固定格式，本项目支付方式以此为准： 项目建设完成、验收合格后，凭乙方开具的增值税专用发票，甲方一次性支付合同款项。 4..需要落实的政府采购政策：（1）《国务院办公厅关于建立政府强制采购节能产品制度的通知》（国办发〔2007〕51号）；（2）《财政部 司法部关于政府采购支持监狱企业发展有关问题的通知》（财库〔2014〕68号）；（3）《财政部、民政部、中国残疾人联合会关于促进残疾人就业政府采购政策的通知》（财库〔2017〕141号）；（4）《财政部发展改革委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为顺利推进政府采购电子化交易平台应用工作，供应商需要在线提交所有通过电子化交易平台实施的政府采购项目的投标文件，同时，线下提交纸质投标文件正本一份、副本二份。若电子投标文件与纸质投标文件不一致的，以纸质投标文件为准；若正本和副本不符，以正本为准。投标文件，正、副本分别各自装订成册密封。在封口处加盖供应商公章。 纸质版投标文件开标前送至：西安市太白南路181号西部电子社区A座A区501室（503开标室）。 6.关于现场踏勘：不集中组织现场踏勘，有需要的供应商可联系陈老师自行前往。 陈老师：0914-2329412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3-投标人应提交的资格证明材料.docx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3-投标人应提交的资格证明材料.docx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投标文件递交截止时间前六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3-投标人应提交的资格证明材料.docx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2023年或2024年经审计的财务报告（事业法人可提供部门决算报告）或基本开户银行出具的资信证明或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3-投标人应提交的资格证明材料.docx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3-投标人应提交的资格证明材料.docx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3-投标人应提交的资格证明材料.docx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 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采购人或采购代理机构在开标当日通过“信用中国” 网站(www. creditchina. gov.cn)、中国政府采购网 (www.ccgp.gov.cn)查询相关主体信用记录网页截图保存</w:t>
            </w:r>
          </w:p>
        </w:tc>
        <w:tc>
          <w:tcPr>
            <w:tcW w:type="dxa" w:w="1661"/>
          </w:tcPr>
          <w:p>
            <w:pPr>
              <w:pStyle w:val="null3"/>
            </w:pPr>
            <w:r>
              <w:rPr>
                <w:rFonts w:ascii="仿宋_GB2312" w:hAnsi="仿宋_GB2312" w:cs="仿宋_GB2312" w:eastAsia="仿宋_GB2312"/>
              </w:rPr>
              <w:t>3-投标人应提交的资格证明材料.docx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1-开标一览表及分项报价表.docx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2-法定代表人授权书.docx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3-投标人应提交的资格证明材料.docx 5-其他资料.docx 开标一览表 中小企业声明函 6-技术条款偏离表.docx 2-法定代表人授权书.docx 投标人应提交的相关资格证明材料 4-商务条款偏离表.docx 1-开标一览表及分项报价表.docx 投标函 残疾人福利性单位声明函 9-附件：中小企业声明函.docx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 1-开标一览表及分项报价表.docx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 1-开标一览表及分项报价表.docx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7-技术方案.docx 1-开标一览表及分项报价表.docx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只能有一个有效报价，不得提交选择性报价，且投标报价不超过最高限价</w:t>
            </w:r>
          </w:p>
        </w:tc>
        <w:tc>
          <w:tcPr>
            <w:tcW w:type="dxa" w:w="1661"/>
          </w:tcPr>
          <w:p>
            <w:pPr>
              <w:pStyle w:val="null3"/>
            </w:pPr>
            <w:r>
              <w:rPr>
                <w:rFonts w:ascii="仿宋_GB2312" w:hAnsi="仿宋_GB2312" w:cs="仿宋_GB2312" w:eastAsia="仿宋_GB2312"/>
              </w:rPr>
              <w:t>开标一览表 标的清单 1-开标一览表及分项报价表.docx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完全响应，无负偏离</w:t>
            </w:r>
          </w:p>
        </w:tc>
        <w:tc>
          <w:tcPr>
            <w:tcW w:type="dxa" w:w="1661"/>
          </w:tcPr>
          <w:p>
            <w:pPr>
              <w:pStyle w:val="null3"/>
            </w:pPr>
            <w:r>
              <w:rPr>
                <w:rFonts w:ascii="仿宋_GB2312" w:hAnsi="仿宋_GB2312" w:cs="仿宋_GB2312" w:eastAsia="仿宋_GB2312"/>
              </w:rPr>
              <w:t>4-商务条款偏离表.docx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所投产品技术参数清楚、明确，并能完全满足招标文件中所有参数条款要求，得15分，单个产品参数每负偏离一项扣0.2分，扣完为止。 证明材料不限于检测报告、产品彩页、厂家出具的技术证明文件、实物照片等。供应商自行承担因材料提供不全、不清晰导致的技术参数评审风险。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6-技术条款偏离表.docx</w:t>
            </w:r>
          </w:p>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针对本项目特点做出合理的供货、安装调试方案(包括产品的运输、安装和调试以及组装、试运行、运行、维护等)由专业的技术人员提供服务，能保证项目的顺利运行。 1.方案科学合理可行、全面、针对性强得7分； 2.方案较合理可行、较全面、针对性较强得5分； 3.方案基本合理、可行性一般、基本全面、针对性一般得3分； 4.方案不太合理、可行性一般、不全面、针对性一般得1分；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有专业的服务团队和技术人员支持（包括但不限于：供货人员安排、安装调试人员、售后人员等） 1.团队架构清晰、人员配备齐全、责任明确、从业经历丰富得5分 2.团队架构较清晰、人员配备较齐全、责任较明确、从业经历较丰富得3分。 3.团队架构基本清晰、人员配备不太齐全、责任不太明确、从业经历一般得1分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供应商具有产品来源合法的证明文件（包括但不限于销售协议、销售合同、厂家授权书等）； 一、供应商提供的产品证明材料合法正规、证明资料完整得4分； 2.供应商提供的产品证明材料合法正规、证明资料基本完整得2分； 3.供应商提供的产品证明材料合法正规、证明资料不完整得1分； 二、针对本项目的质量保证措施(包含但不限于产品的生产、包装、运输、安装、调试)。 1.措施科学合理可行、全面、针对性强得4分； 2.措施较合理可行、较全面、针对性较强得2分； 3.措施合理可行性一般、针对性一般得1分；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供应商对本项目提供的针对本项目供货、安装调试的进度计划的保证措施。 1.措施细致详细、合理性强、贴近项目情况针对性强得5分； 2.措施较为细致详细、较有合理性、针对性强得3分； 3.措施完善，提供内容简单，较贴合实际得1分；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针对本项目制定的处理突发事件的应急预案（包括但不限于：对备品配件、设备发生故障后的补救措施、突发情况下的处置时间）； 1.应急预案科学合理、全面、针对性强、具有可操作性得5分； 2.应急预案较科学合理、较全面、针对性一般、基本具有可操作性得3分； 3.应急预案基本科学合理、全面、针对性弱、可操作性弱得1分；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供应商针对本项目具有完善的售后服务机构、有详尽的售后方案和专门的售后服务人员、充足的售后资源及规范的管理制度。 1.售后服务方案细致、合理性强、针对性强、完全符合项目情况得10分； 2.售后服务方案较细致、合理性较强、针对性较强、符合项目情况得7分； 3.售后服务方案基本全面、较合理、比较有针对性、贴近项目情况得5分； 4.售后服务方案一般、合理性、针对性一般、基本贴近项目情况得3分； 5.售后服务方案一般、合理性、针对性一般、不贴近项目情况得1分；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1.交货时间2分：交货时间最短的供应商得2分，其他单位得1分； 2.质保期3分：在原有2年质保期的基础上，质保期增加一年加1分，最高得3分。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供应商近三年（2022年7月1日至今）承接过类似项目业绩：每提供一个业绩合同或中标/成交通知书得2分，满分10分。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本项目以投标人投标总报价金额作为报价得分的计算基础，即满足招标文件要求且投标总报价最低的作为评标基准价，其价格分为满分。其余投标人报价得分＝（评标基准价/投标人投标总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详见附件：2-法定代表人授权书.docx</w:t>
      </w:r>
    </w:p>
    <w:p>
      <w:pPr>
        <w:pStyle w:val="null3"/>
        <w:ind w:firstLine="960"/>
      </w:pPr>
      <w:r>
        <w:rPr>
          <w:rFonts w:ascii="仿宋_GB2312" w:hAnsi="仿宋_GB2312" w:cs="仿宋_GB2312" w:eastAsia="仿宋_GB2312"/>
        </w:rPr>
        <w:t>详见附件：3-投标人应提交的资格证明材料.docx</w:t>
      </w:r>
    </w:p>
    <w:p>
      <w:pPr>
        <w:pStyle w:val="null3"/>
        <w:ind w:firstLine="960"/>
      </w:pPr>
      <w:r>
        <w:rPr>
          <w:rFonts w:ascii="仿宋_GB2312" w:hAnsi="仿宋_GB2312" w:cs="仿宋_GB2312" w:eastAsia="仿宋_GB2312"/>
        </w:rPr>
        <w:t>详见附件：4-商务条款偏离表.docx</w:t>
      </w:r>
    </w:p>
    <w:p>
      <w:pPr>
        <w:pStyle w:val="null3"/>
        <w:ind w:firstLine="960"/>
      </w:pPr>
      <w:r>
        <w:rPr>
          <w:rFonts w:ascii="仿宋_GB2312" w:hAnsi="仿宋_GB2312" w:cs="仿宋_GB2312" w:eastAsia="仿宋_GB2312"/>
        </w:rPr>
        <w:t>详见附件：5-其他资料.docx</w:t>
      </w:r>
    </w:p>
    <w:p>
      <w:pPr>
        <w:pStyle w:val="null3"/>
        <w:ind w:firstLine="960"/>
      </w:pPr>
      <w:r>
        <w:rPr>
          <w:rFonts w:ascii="仿宋_GB2312" w:hAnsi="仿宋_GB2312" w:cs="仿宋_GB2312" w:eastAsia="仿宋_GB2312"/>
        </w:rPr>
        <w:t>详见附件：6-技术条款偏离表.docx</w:t>
      </w:r>
    </w:p>
    <w:p>
      <w:pPr>
        <w:pStyle w:val="null3"/>
        <w:ind w:firstLine="960"/>
      </w:pPr>
      <w:r>
        <w:rPr>
          <w:rFonts w:ascii="仿宋_GB2312" w:hAnsi="仿宋_GB2312" w:cs="仿宋_GB2312" w:eastAsia="仿宋_GB2312"/>
        </w:rPr>
        <w:t>详见附件：7-技术方案.docx</w:t>
      </w:r>
    </w:p>
    <w:p>
      <w:pPr>
        <w:pStyle w:val="null3"/>
        <w:ind w:firstLine="960"/>
      </w:pPr>
      <w:r>
        <w:rPr>
          <w:rFonts w:ascii="仿宋_GB2312" w:hAnsi="仿宋_GB2312" w:cs="仿宋_GB2312" w:eastAsia="仿宋_GB2312"/>
        </w:rPr>
        <w:t>详见附件：1-开标一览表及分项报价表.docx</w:t>
      </w:r>
    </w:p>
    <w:p>
      <w:pPr>
        <w:pStyle w:val="null3"/>
        <w:ind w:firstLine="960"/>
      </w:pPr>
      <w:r>
        <w:rPr>
          <w:rFonts w:ascii="仿宋_GB2312" w:hAnsi="仿宋_GB2312" w:cs="仿宋_GB2312" w:eastAsia="仿宋_GB2312"/>
        </w:rPr>
        <w:t>详见附件：9-附件：中小企业声明函.docx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详见附件：8-合同.docx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