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A7478">
      <w:pPr>
        <w:spacing w:line="360" w:lineRule="auto"/>
        <w:jc w:val="center"/>
        <w:rPr>
          <w:rFonts w:hint="eastAsia" w:ascii="仿宋" w:hAnsi="仿宋" w:eastAsia="仿宋" w:cs="仿宋"/>
          <w:b/>
          <w:sz w:val="44"/>
          <w:szCs w:val="48"/>
        </w:rPr>
      </w:pPr>
    </w:p>
    <w:p w14:paraId="2E2E082C">
      <w:pPr>
        <w:spacing w:line="360" w:lineRule="auto"/>
        <w:jc w:val="center"/>
        <w:rPr>
          <w:rFonts w:hint="eastAsia" w:ascii="仿宋" w:hAnsi="仿宋" w:eastAsia="仿宋" w:cs="仿宋"/>
          <w:b/>
          <w:sz w:val="44"/>
          <w:szCs w:val="48"/>
        </w:rPr>
      </w:pPr>
    </w:p>
    <w:p w14:paraId="452BA671">
      <w:pPr>
        <w:spacing w:line="360" w:lineRule="auto"/>
        <w:jc w:val="center"/>
        <w:rPr>
          <w:rFonts w:hint="eastAsia" w:ascii="仿宋" w:hAnsi="仿宋" w:eastAsia="仿宋" w:cs="仿宋"/>
          <w:b/>
          <w:sz w:val="44"/>
          <w:szCs w:val="48"/>
        </w:rPr>
      </w:pPr>
    </w:p>
    <w:p w14:paraId="497C9860">
      <w:pPr>
        <w:spacing w:line="360" w:lineRule="auto"/>
        <w:jc w:val="center"/>
        <w:rPr>
          <w:rFonts w:hint="eastAsia" w:ascii="仿宋" w:hAnsi="仿宋" w:eastAsia="仿宋" w:cs="仿宋"/>
          <w:b/>
          <w:sz w:val="44"/>
          <w:szCs w:val="48"/>
        </w:rPr>
      </w:pPr>
      <w:r>
        <w:rPr>
          <w:rFonts w:hint="eastAsia" w:ascii="仿宋" w:hAnsi="仿宋" w:eastAsia="仿宋" w:cs="仿宋"/>
          <w:b/>
          <w:sz w:val="44"/>
          <w:szCs w:val="48"/>
        </w:rPr>
        <w:t>西北妇女儿童医院</w:t>
      </w:r>
    </w:p>
    <w:p w14:paraId="3316A67C">
      <w:pPr>
        <w:spacing w:line="360" w:lineRule="auto"/>
        <w:jc w:val="center"/>
        <w:rPr>
          <w:rFonts w:hint="eastAsia" w:ascii="仿宋" w:hAnsi="仿宋" w:eastAsia="仿宋" w:cs="仿宋"/>
          <w:b/>
          <w:sz w:val="36"/>
        </w:rPr>
      </w:pPr>
      <w:r>
        <w:rPr>
          <w:rFonts w:hint="eastAsia" w:ascii="仿宋" w:hAnsi="仿宋" w:eastAsia="仿宋" w:cs="仿宋"/>
          <w:b/>
          <w:sz w:val="44"/>
          <w:szCs w:val="44"/>
          <w:lang w:eastAsia="zh-CN"/>
        </w:rPr>
        <w:t>多酶清洗剂、除锈剂等耗材</w:t>
      </w:r>
      <w:r>
        <w:rPr>
          <w:rFonts w:hint="eastAsia" w:ascii="仿宋" w:hAnsi="仿宋" w:eastAsia="仿宋" w:cs="仿宋"/>
          <w:b/>
          <w:sz w:val="44"/>
          <w:szCs w:val="44"/>
          <w:lang w:val="en-US" w:eastAsia="zh-CN"/>
        </w:rPr>
        <w:t>一批</w:t>
      </w:r>
      <w:r>
        <w:rPr>
          <w:rFonts w:hint="eastAsia" w:ascii="仿宋" w:hAnsi="仿宋" w:eastAsia="仿宋" w:cs="仿宋"/>
          <w:b/>
          <w:sz w:val="44"/>
          <w:szCs w:val="44"/>
        </w:rPr>
        <w:t>采购合同</w:t>
      </w:r>
    </w:p>
    <w:p w14:paraId="363C8D2D">
      <w:pPr>
        <w:spacing w:line="360" w:lineRule="auto"/>
        <w:jc w:val="center"/>
        <w:rPr>
          <w:rFonts w:hint="eastAsia" w:ascii="仿宋" w:hAnsi="仿宋" w:eastAsia="仿宋" w:cs="仿宋"/>
          <w:sz w:val="28"/>
          <w:szCs w:val="28"/>
        </w:rPr>
      </w:pPr>
    </w:p>
    <w:p w14:paraId="6D359712">
      <w:pPr>
        <w:spacing w:line="360" w:lineRule="auto"/>
        <w:jc w:val="center"/>
        <w:rPr>
          <w:rFonts w:hint="eastAsia" w:ascii="仿宋" w:hAnsi="仿宋" w:eastAsia="仿宋" w:cs="仿宋"/>
          <w:sz w:val="28"/>
          <w:szCs w:val="28"/>
        </w:rPr>
      </w:pPr>
    </w:p>
    <w:p w14:paraId="7DB7D778">
      <w:pPr>
        <w:spacing w:line="360" w:lineRule="auto"/>
        <w:jc w:val="center"/>
        <w:rPr>
          <w:rFonts w:hint="eastAsia" w:ascii="仿宋" w:hAnsi="仿宋" w:eastAsia="仿宋" w:cs="仿宋"/>
          <w:sz w:val="28"/>
          <w:szCs w:val="28"/>
        </w:rPr>
      </w:pPr>
    </w:p>
    <w:p w14:paraId="0895E321">
      <w:pPr>
        <w:spacing w:line="360" w:lineRule="auto"/>
        <w:jc w:val="center"/>
        <w:rPr>
          <w:rFonts w:hint="eastAsia" w:ascii="仿宋" w:hAnsi="仿宋" w:eastAsia="仿宋" w:cs="仿宋"/>
          <w:sz w:val="28"/>
          <w:szCs w:val="28"/>
        </w:rPr>
      </w:pPr>
    </w:p>
    <w:p w14:paraId="5594BD2D">
      <w:pPr>
        <w:spacing w:line="360" w:lineRule="auto"/>
        <w:jc w:val="center"/>
        <w:rPr>
          <w:rFonts w:hint="eastAsia" w:ascii="仿宋" w:hAnsi="仿宋" w:eastAsia="仿宋" w:cs="仿宋"/>
          <w:sz w:val="28"/>
          <w:szCs w:val="28"/>
        </w:rPr>
      </w:pPr>
    </w:p>
    <w:p w14:paraId="531D8795">
      <w:pPr>
        <w:spacing w:line="360" w:lineRule="auto"/>
        <w:jc w:val="center"/>
        <w:rPr>
          <w:rFonts w:hint="eastAsia" w:ascii="仿宋" w:hAnsi="仿宋" w:eastAsia="仿宋" w:cs="仿宋"/>
          <w:sz w:val="28"/>
          <w:szCs w:val="28"/>
        </w:rPr>
      </w:pPr>
    </w:p>
    <w:p w14:paraId="18DC2791">
      <w:pPr>
        <w:spacing w:line="360" w:lineRule="auto"/>
        <w:jc w:val="center"/>
        <w:rPr>
          <w:rFonts w:hint="eastAsia" w:ascii="仿宋" w:hAnsi="仿宋" w:eastAsia="仿宋" w:cs="仿宋"/>
          <w:sz w:val="28"/>
          <w:szCs w:val="28"/>
        </w:rPr>
      </w:pPr>
    </w:p>
    <w:p w14:paraId="38154C10">
      <w:pPr>
        <w:spacing w:line="360" w:lineRule="auto"/>
        <w:jc w:val="center"/>
        <w:rPr>
          <w:rFonts w:hint="eastAsia" w:ascii="仿宋" w:hAnsi="仿宋" w:eastAsia="仿宋" w:cs="仿宋"/>
          <w:sz w:val="28"/>
          <w:szCs w:val="28"/>
        </w:rPr>
      </w:pPr>
    </w:p>
    <w:p w14:paraId="097F7355">
      <w:pPr>
        <w:spacing w:line="360" w:lineRule="auto"/>
        <w:jc w:val="center"/>
        <w:rPr>
          <w:rFonts w:hint="eastAsia" w:ascii="仿宋" w:hAnsi="仿宋" w:eastAsia="仿宋" w:cs="仿宋"/>
          <w:sz w:val="28"/>
          <w:szCs w:val="28"/>
        </w:rPr>
      </w:pPr>
    </w:p>
    <w:p w14:paraId="3C2ED168">
      <w:pPr>
        <w:spacing w:line="360" w:lineRule="auto"/>
        <w:jc w:val="center"/>
        <w:rPr>
          <w:rFonts w:hint="eastAsia" w:ascii="仿宋" w:hAnsi="仿宋" w:eastAsia="仿宋" w:cs="仿宋"/>
          <w:sz w:val="28"/>
          <w:szCs w:val="28"/>
        </w:rPr>
      </w:pPr>
    </w:p>
    <w:p w14:paraId="6A6A32DD">
      <w:pPr>
        <w:spacing w:line="360" w:lineRule="auto"/>
        <w:jc w:val="center"/>
        <w:rPr>
          <w:rFonts w:hint="eastAsia" w:ascii="仿宋" w:hAnsi="仿宋" w:eastAsia="仿宋" w:cs="仿宋"/>
          <w:sz w:val="28"/>
          <w:szCs w:val="28"/>
        </w:rPr>
      </w:pPr>
    </w:p>
    <w:p w14:paraId="5FEC8086">
      <w:pPr>
        <w:spacing w:line="360" w:lineRule="auto"/>
        <w:ind w:firstLine="1950" w:firstLineChars="650"/>
        <w:rPr>
          <w:rFonts w:hint="eastAsia" w:ascii="仿宋" w:hAnsi="仿宋" w:eastAsia="仿宋" w:cs="仿宋"/>
          <w:sz w:val="30"/>
          <w:szCs w:val="30"/>
        </w:rPr>
      </w:pPr>
      <w:r>
        <w:rPr>
          <w:rFonts w:hint="eastAsia" w:ascii="仿宋" w:hAnsi="仿宋" w:eastAsia="仿宋" w:cs="仿宋"/>
          <w:sz w:val="30"/>
          <w:szCs w:val="30"/>
        </w:rPr>
        <w:t>甲  方：西北妇女儿童医院</w:t>
      </w:r>
    </w:p>
    <w:p w14:paraId="3E37F02B">
      <w:pPr>
        <w:spacing w:line="360" w:lineRule="auto"/>
        <w:ind w:firstLine="1950" w:firstLineChars="650"/>
        <w:rPr>
          <w:rFonts w:hint="eastAsia" w:ascii="仿宋" w:hAnsi="仿宋" w:eastAsia="仿宋" w:cs="仿宋"/>
          <w:color w:val="FF0000"/>
          <w:sz w:val="30"/>
          <w:szCs w:val="30"/>
        </w:rPr>
      </w:pPr>
      <w:r>
        <w:rPr>
          <w:rFonts w:hint="eastAsia" w:ascii="仿宋" w:hAnsi="仿宋" w:eastAsia="仿宋" w:cs="仿宋"/>
          <w:sz w:val="30"/>
          <w:szCs w:val="30"/>
        </w:rPr>
        <w:t>乙  方：</w:t>
      </w:r>
    </w:p>
    <w:p w14:paraId="4AFCC233">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p w14:paraId="273CA0F4">
      <w:pPr>
        <w:spacing w:line="360" w:lineRule="auto"/>
        <w:rPr>
          <w:rFonts w:hint="eastAsia" w:ascii="仿宋" w:hAnsi="仿宋" w:eastAsia="仿宋" w:cs="仿宋"/>
          <w:bCs/>
          <w:sz w:val="44"/>
          <w:szCs w:val="44"/>
        </w:rPr>
      </w:pPr>
    </w:p>
    <w:p w14:paraId="4BF97A7C">
      <w:pPr>
        <w:rPr>
          <w:rFonts w:hint="eastAsia" w:ascii="仿宋" w:hAnsi="仿宋" w:eastAsia="仿宋" w:cs="仿宋"/>
          <w:b/>
          <w:sz w:val="36"/>
          <w:szCs w:val="40"/>
          <w:lang w:eastAsia="zh-CN"/>
        </w:rPr>
      </w:pPr>
      <w:r>
        <w:rPr>
          <w:rFonts w:hint="eastAsia" w:ascii="仿宋" w:hAnsi="仿宋" w:eastAsia="仿宋" w:cs="仿宋"/>
          <w:b/>
          <w:sz w:val="36"/>
          <w:szCs w:val="40"/>
          <w:lang w:eastAsia="zh-CN"/>
        </w:rPr>
        <w:br w:type="page"/>
      </w:r>
    </w:p>
    <w:p w14:paraId="2CAA7A2D">
      <w:pPr>
        <w:keepNext w:val="0"/>
        <w:keepLines w:val="0"/>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lang w:eastAsia="zh-CN"/>
        </w:rPr>
        <w:t>多酶清洗剂、除锈剂等耗材一批</w:t>
      </w:r>
      <w:r>
        <w:rPr>
          <w:rFonts w:hint="eastAsia" w:ascii="仿宋" w:hAnsi="仿宋" w:eastAsia="仿宋" w:cs="仿宋"/>
          <w:b/>
          <w:bCs w:val="0"/>
          <w:sz w:val="28"/>
          <w:szCs w:val="28"/>
          <w:lang w:val="en-US" w:eastAsia="zh-CN"/>
        </w:rPr>
        <w:t>采购</w:t>
      </w:r>
      <w:r>
        <w:rPr>
          <w:rFonts w:hint="eastAsia" w:ascii="仿宋" w:hAnsi="仿宋" w:eastAsia="仿宋" w:cs="仿宋"/>
          <w:b/>
          <w:bCs w:val="0"/>
          <w:sz w:val="28"/>
          <w:szCs w:val="28"/>
        </w:rPr>
        <w:t>合同</w:t>
      </w:r>
    </w:p>
    <w:p w14:paraId="79C280EF">
      <w:pPr>
        <w:pStyle w:val="2"/>
        <w:keepNext w:val="0"/>
        <w:keepLines w:val="0"/>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Cs/>
          <w:sz w:val="36"/>
          <w:szCs w:val="36"/>
        </w:rPr>
      </w:pPr>
      <w:r>
        <w:rPr>
          <w:rFonts w:hint="eastAsia" w:ascii="仿宋" w:hAnsi="仿宋" w:eastAsia="仿宋" w:cs="仿宋"/>
          <w:bCs/>
          <w:color w:val="auto"/>
          <w:kern w:val="2"/>
          <w:sz w:val="24"/>
          <w:szCs w:val="24"/>
          <w:lang w:val="en-US" w:eastAsia="zh-CN" w:bidi="ar-SA"/>
        </w:rPr>
        <w:t>（合同草案条款仅供参考，以实际签订合同为准）</w:t>
      </w:r>
    </w:p>
    <w:p w14:paraId="7F6D22C0">
      <w:pPr>
        <w:keepNext w:val="0"/>
        <w:keepLines w:val="0"/>
        <w:pageBreakBefore w:val="0"/>
        <w:widowControl w:val="0"/>
        <w:kinsoku/>
        <w:wordWrap/>
        <w:overflowPunct/>
        <w:topLinePunct w:val="0"/>
        <w:autoSpaceDE/>
        <w:autoSpaceDN/>
        <w:bidi w:val="0"/>
        <w:spacing w:line="360" w:lineRule="auto"/>
        <w:jc w:val="center"/>
        <w:textAlignment w:val="auto"/>
        <w:rPr>
          <w:rFonts w:hint="eastAsia" w:ascii="仿宋" w:hAnsi="仿宋" w:eastAsia="仿宋" w:cs="仿宋"/>
          <w:b/>
          <w:sz w:val="24"/>
        </w:rPr>
      </w:pPr>
    </w:p>
    <w:p w14:paraId="5EB59C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rPr>
      </w:pPr>
      <w:r>
        <w:rPr>
          <w:rFonts w:hint="eastAsia" w:ascii="仿宋" w:hAnsi="仿宋" w:eastAsia="仿宋" w:cs="仿宋"/>
          <w:bCs/>
          <w:sz w:val="24"/>
        </w:rPr>
        <w:t>西北妇女儿童医院（以下简称甲方）经</w:t>
      </w:r>
      <w:r>
        <w:rPr>
          <w:rFonts w:hint="eastAsia" w:ascii="仿宋" w:hAnsi="仿宋" w:eastAsia="仿宋" w:cs="仿宋"/>
          <w:bCs/>
          <w:sz w:val="24"/>
          <w:lang w:eastAsia="zh-CN"/>
        </w:rPr>
        <w:t>政府</w:t>
      </w:r>
      <w:r>
        <w:rPr>
          <w:rFonts w:hint="eastAsia" w:ascii="仿宋" w:hAnsi="仿宋" w:eastAsia="仿宋" w:cs="仿宋"/>
          <w:bCs/>
          <w:sz w:val="24"/>
        </w:rPr>
        <w:t>采购，选定</w:t>
      </w:r>
      <w:r>
        <w:rPr>
          <w:rFonts w:hint="eastAsia" w:ascii="仿宋" w:hAnsi="仿宋" w:eastAsia="仿宋" w:cs="仿宋"/>
          <w:bCs/>
          <w:sz w:val="24"/>
          <w:u w:val="single"/>
        </w:rPr>
        <w:t xml:space="preserve">        公司</w:t>
      </w:r>
      <w:r>
        <w:rPr>
          <w:rFonts w:hint="eastAsia" w:ascii="仿宋" w:hAnsi="仿宋" w:eastAsia="仿宋" w:cs="仿宋"/>
          <w:bCs/>
          <w:sz w:val="24"/>
        </w:rPr>
        <w:t>（以下简称乙方）为</w:t>
      </w:r>
      <w:r>
        <w:rPr>
          <w:rFonts w:hint="eastAsia" w:ascii="仿宋" w:hAnsi="仿宋" w:eastAsia="仿宋" w:cs="仿宋"/>
          <w:bCs/>
          <w:sz w:val="24"/>
          <w:lang w:eastAsia="zh-CN"/>
        </w:rPr>
        <w:t>多酶清洗剂、除锈剂等耗材</w:t>
      </w:r>
      <w:r>
        <w:rPr>
          <w:rFonts w:hint="eastAsia" w:ascii="仿宋" w:hAnsi="仿宋" w:eastAsia="仿宋" w:cs="仿宋"/>
          <w:bCs/>
          <w:sz w:val="24"/>
        </w:rPr>
        <w:t>一批</w:t>
      </w:r>
      <w:r>
        <w:rPr>
          <w:rFonts w:hint="eastAsia" w:ascii="仿宋" w:hAnsi="仿宋" w:eastAsia="仿宋" w:cs="仿宋"/>
          <w:bCs/>
          <w:sz w:val="24"/>
          <w:lang w:val="en-US" w:eastAsia="zh-CN"/>
        </w:rPr>
        <w:t>采购</w:t>
      </w:r>
      <w:r>
        <w:rPr>
          <w:rFonts w:hint="eastAsia" w:ascii="仿宋" w:hAnsi="仿宋" w:eastAsia="仿宋" w:cs="仿宋"/>
          <w:bCs/>
          <w:sz w:val="24"/>
        </w:rPr>
        <w:t>项目成交单位。依据《中华人民共和国民法典》，经甲、乙双方共同协商，按下述条款和条件签署本合同。</w:t>
      </w:r>
    </w:p>
    <w:p w14:paraId="4DC4D5F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rPr>
      </w:pPr>
      <w:r>
        <w:rPr>
          <w:rFonts w:hint="eastAsia" w:ascii="仿宋" w:hAnsi="仿宋" w:eastAsia="仿宋" w:cs="仿宋"/>
          <w:b/>
          <w:sz w:val="24"/>
        </w:rPr>
        <w:t>一、合同内容</w:t>
      </w:r>
    </w:p>
    <w:p w14:paraId="798D82E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sz w:val="24"/>
        </w:rPr>
      </w:pPr>
      <w:r>
        <w:rPr>
          <w:rFonts w:hint="eastAsia" w:ascii="仿宋" w:hAnsi="仿宋" w:eastAsia="仿宋" w:cs="仿宋"/>
          <w:sz w:val="24"/>
        </w:rPr>
        <w:t>乙方负责按照合同和投标文件确定的</w:t>
      </w:r>
      <w:r>
        <w:rPr>
          <w:rFonts w:hint="eastAsia" w:ascii="仿宋" w:hAnsi="仿宋" w:eastAsia="仿宋" w:cs="仿宋"/>
          <w:sz w:val="24"/>
          <w:lang w:eastAsia="zh-CN"/>
        </w:rPr>
        <w:t>耗材</w:t>
      </w:r>
      <w:r>
        <w:rPr>
          <w:rFonts w:hint="eastAsia" w:ascii="仿宋" w:hAnsi="仿宋" w:eastAsia="仿宋" w:cs="仿宋"/>
          <w:sz w:val="24"/>
        </w:rPr>
        <w:t>名称、规格型号、数量、产地、配置内容及技术标准组织供货，并按要求做好售后服务工作。</w:t>
      </w:r>
    </w:p>
    <w:tbl>
      <w:tblPr>
        <w:tblStyle w:val="6"/>
        <w:tblpPr w:leftFromText="180" w:rightFromText="180" w:vertAnchor="text" w:horzAnchor="page" w:tblpX="1660" w:tblpY="121"/>
        <w:tblW w:w="88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30"/>
        <w:gridCol w:w="1196"/>
        <w:gridCol w:w="694"/>
        <w:gridCol w:w="915"/>
        <w:gridCol w:w="960"/>
        <w:gridCol w:w="840"/>
        <w:gridCol w:w="1114"/>
        <w:gridCol w:w="1101"/>
      </w:tblGrid>
      <w:tr w14:paraId="4D10D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693" w:type="dxa"/>
            <w:noWrap w:val="0"/>
            <w:vAlign w:val="center"/>
          </w:tcPr>
          <w:p w14:paraId="70C0EDB8">
            <w:pPr>
              <w:adjustRightInd w:val="0"/>
              <w:snapToGrid w:val="0"/>
              <w:spacing w:line="360" w:lineRule="auto"/>
              <w:jc w:val="center"/>
              <w:rPr>
                <w:rFonts w:hint="eastAsia" w:ascii="仿宋" w:hAnsi="仿宋" w:eastAsia="仿宋" w:cs="仿宋"/>
                <w:szCs w:val="21"/>
              </w:rPr>
            </w:pPr>
            <w:bookmarkStart w:id="0" w:name="OLE_LINK1"/>
            <w:r>
              <w:rPr>
                <w:rFonts w:hint="eastAsia" w:ascii="仿宋" w:hAnsi="仿宋" w:eastAsia="仿宋" w:cs="仿宋"/>
                <w:szCs w:val="21"/>
              </w:rPr>
              <w:t>序号</w:t>
            </w:r>
          </w:p>
        </w:tc>
        <w:tc>
          <w:tcPr>
            <w:tcW w:w="1330" w:type="dxa"/>
            <w:noWrap w:val="0"/>
            <w:vAlign w:val="center"/>
          </w:tcPr>
          <w:p w14:paraId="08B306A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品目名称</w:t>
            </w:r>
          </w:p>
        </w:tc>
        <w:tc>
          <w:tcPr>
            <w:tcW w:w="1196" w:type="dxa"/>
            <w:noWrap w:val="0"/>
            <w:vAlign w:val="center"/>
          </w:tcPr>
          <w:p w14:paraId="4A05AA9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生产厂家</w:t>
            </w:r>
          </w:p>
        </w:tc>
        <w:tc>
          <w:tcPr>
            <w:tcW w:w="694" w:type="dxa"/>
            <w:noWrap w:val="0"/>
            <w:vAlign w:val="center"/>
          </w:tcPr>
          <w:p w14:paraId="70E076FC">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产地</w:t>
            </w:r>
          </w:p>
        </w:tc>
        <w:tc>
          <w:tcPr>
            <w:tcW w:w="915" w:type="dxa"/>
            <w:noWrap w:val="0"/>
            <w:vAlign w:val="center"/>
          </w:tcPr>
          <w:p w14:paraId="6311A156">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规格</w:t>
            </w:r>
          </w:p>
        </w:tc>
        <w:tc>
          <w:tcPr>
            <w:tcW w:w="960" w:type="dxa"/>
            <w:noWrap w:val="0"/>
            <w:vAlign w:val="center"/>
          </w:tcPr>
          <w:p w14:paraId="20418CDF">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单位</w:t>
            </w:r>
          </w:p>
        </w:tc>
        <w:tc>
          <w:tcPr>
            <w:tcW w:w="840" w:type="dxa"/>
            <w:noWrap w:val="0"/>
            <w:vAlign w:val="center"/>
          </w:tcPr>
          <w:p w14:paraId="65E1974F">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数量</w:t>
            </w:r>
          </w:p>
        </w:tc>
        <w:tc>
          <w:tcPr>
            <w:tcW w:w="1114" w:type="dxa"/>
            <w:noWrap w:val="0"/>
            <w:vAlign w:val="center"/>
          </w:tcPr>
          <w:p w14:paraId="57BA6372">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单价（元）</w:t>
            </w:r>
          </w:p>
        </w:tc>
        <w:tc>
          <w:tcPr>
            <w:tcW w:w="1101" w:type="dxa"/>
            <w:noWrap w:val="0"/>
            <w:vAlign w:val="center"/>
          </w:tcPr>
          <w:p w14:paraId="38BFCB7D">
            <w:pPr>
              <w:adjustRightInd w:val="0"/>
              <w:snapToGrid w:val="0"/>
              <w:spacing w:line="360" w:lineRule="auto"/>
              <w:jc w:val="center"/>
              <w:rPr>
                <w:rFonts w:hint="eastAsia" w:ascii="仿宋" w:hAnsi="仿宋" w:eastAsia="仿宋" w:cs="仿宋"/>
                <w:szCs w:val="21"/>
              </w:rPr>
            </w:pPr>
            <w:r>
              <w:rPr>
                <w:rFonts w:hint="eastAsia" w:ascii="仿宋" w:hAnsi="仿宋" w:eastAsia="仿宋" w:cs="仿宋"/>
                <w:szCs w:val="21"/>
              </w:rPr>
              <w:t>合计（元）</w:t>
            </w:r>
          </w:p>
        </w:tc>
      </w:tr>
      <w:tr w14:paraId="03B8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93" w:type="dxa"/>
            <w:noWrap w:val="0"/>
            <w:vAlign w:val="center"/>
          </w:tcPr>
          <w:p w14:paraId="22205997">
            <w:pPr>
              <w:adjustRightInd w:val="0"/>
              <w:snapToGrid w:val="0"/>
              <w:spacing w:line="360" w:lineRule="auto"/>
              <w:jc w:val="center"/>
              <w:rPr>
                <w:rFonts w:hint="eastAsia" w:ascii="仿宋" w:hAnsi="仿宋" w:eastAsia="仿宋" w:cs="仿宋"/>
                <w:szCs w:val="21"/>
              </w:rPr>
            </w:pPr>
          </w:p>
        </w:tc>
        <w:tc>
          <w:tcPr>
            <w:tcW w:w="1330" w:type="dxa"/>
            <w:noWrap w:val="0"/>
            <w:vAlign w:val="center"/>
          </w:tcPr>
          <w:p w14:paraId="6590AF98">
            <w:pPr>
              <w:adjustRightInd w:val="0"/>
              <w:snapToGrid w:val="0"/>
              <w:spacing w:line="360" w:lineRule="auto"/>
              <w:jc w:val="center"/>
              <w:rPr>
                <w:rFonts w:hint="eastAsia" w:ascii="仿宋" w:hAnsi="仿宋" w:eastAsia="仿宋" w:cs="仿宋"/>
                <w:szCs w:val="21"/>
              </w:rPr>
            </w:pPr>
          </w:p>
        </w:tc>
        <w:tc>
          <w:tcPr>
            <w:tcW w:w="1196" w:type="dxa"/>
            <w:noWrap w:val="0"/>
            <w:vAlign w:val="center"/>
          </w:tcPr>
          <w:p w14:paraId="7AC7CA00">
            <w:pPr>
              <w:adjustRightInd w:val="0"/>
              <w:snapToGrid w:val="0"/>
              <w:spacing w:line="360" w:lineRule="auto"/>
              <w:jc w:val="center"/>
              <w:rPr>
                <w:rFonts w:hint="eastAsia" w:ascii="仿宋" w:hAnsi="仿宋" w:eastAsia="仿宋" w:cs="仿宋"/>
                <w:szCs w:val="21"/>
              </w:rPr>
            </w:pPr>
          </w:p>
        </w:tc>
        <w:tc>
          <w:tcPr>
            <w:tcW w:w="694" w:type="dxa"/>
            <w:noWrap w:val="0"/>
            <w:vAlign w:val="center"/>
          </w:tcPr>
          <w:p w14:paraId="04402962">
            <w:pPr>
              <w:adjustRightInd w:val="0"/>
              <w:snapToGrid w:val="0"/>
              <w:spacing w:line="360" w:lineRule="auto"/>
              <w:jc w:val="center"/>
              <w:rPr>
                <w:rFonts w:hint="eastAsia" w:ascii="仿宋" w:hAnsi="仿宋" w:eastAsia="仿宋" w:cs="仿宋"/>
                <w:szCs w:val="21"/>
              </w:rPr>
            </w:pPr>
          </w:p>
        </w:tc>
        <w:tc>
          <w:tcPr>
            <w:tcW w:w="915" w:type="dxa"/>
            <w:noWrap w:val="0"/>
            <w:vAlign w:val="center"/>
          </w:tcPr>
          <w:p w14:paraId="626AC0EC">
            <w:pPr>
              <w:adjustRightInd w:val="0"/>
              <w:snapToGrid w:val="0"/>
              <w:spacing w:line="360" w:lineRule="auto"/>
              <w:jc w:val="center"/>
              <w:rPr>
                <w:rFonts w:hint="eastAsia" w:ascii="仿宋" w:hAnsi="仿宋" w:eastAsia="仿宋" w:cs="仿宋"/>
                <w:szCs w:val="21"/>
              </w:rPr>
            </w:pPr>
          </w:p>
        </w:tc>
        <w:tc>
          <w:tcPr>
            <w:tcW w:w="960" w:type="dxa"/>
            <w:noWrap w:val="0"/>
            <w:vAlign w:val="center"/>
          </w:tcPr>
          <w:p w14:paraId="443B3A8A">
            <w:pPr>
              <w:adjustRightInd w:val="0"/>
              <w:snapToGrid w:val="0"/>
              <w:spacing w:line="360" w:lineRule="auto"/>
              <w:jc w:val="center"/>
              <w:rPr>
                <w:rFonts w:hint="eastAsia" w:ascii="仿宋" w:hAnsi="仿宋" w:eastAsia="仿宋" w:cs="仿宋"/>
                <w:szCs w:val="21"/>
              </w:rPr>
            </w:pPr>
          </w:p>
        </w:tc>
        <w:tc>
          <w:tcPr>
            <w:tcW w:w="840" w:type="dxa"/>
            <w:noWrap w:val="0"/>
            <w:vAlign w:val="center"/>
          </w:tcPr>
          <w:p w14:paraId="451C87F4">
            <w:pPr>
              <w:adjustRightInd w:val="0"/>
              <w:snapToGrid w:val="0"/>
              <w:spacing w:line="360" w:lineRule="auto"/>
              <w:jc w:val="center"/>
              <w:rPr>
                <w:rFonts w:hint="eastAsia" w:ascii="仿宋" w:hAnsi="仿宋" w:eastAsia="仿宋" w:cs="仿宋"/>
                <w:szCs w:val="21"/>
              </w:rPr>
            </w:pPr>
          </w:p>
        </w:tc>
        <w:tc>
          <w:tcPr>
            <w:tcW w:w="1114" w:type="dxa"/>
            <w:noWrap w:val="0"/>
            <w:vAlign w:val="center"/>
          </w:tcPr>
          <w:p w14:paraId="2D1CD241">
            <w:pPr>
              <w:adjustRightInd w:val="0"/>
              <w:snapToGrid w:val="0"/>
              <w:spacing w:line="360" w:lineRule="auto"/>
              <w:jc w:val="center"/>
              <w:rPr>
                <w:rFonts w:hint="eastAsia" w:ascii="仿宋" w:hAnsi="仿宋" w:eastAsia="仿宋" w:cs="仿宋"/>
                <w:szCs w:val="21"/>
              </w:rPr>
            </w:pPr>
          </w:p>
        </w:tc>
        <w:tc>
          <w:tcPr>
            <w:tcW w:w="1101" w:type="dxa"/>
            <w:noWrap w:val="0"/>
            <w:vAlign w:val="center"/>
          </w:tcPr>
          <w:p w14:paraId="7C9C635F">
            <w:pPr>
              <w:adjustRightInd w:val="0"/>
              <w:snapToGrid w:val="0"/>
              <w:spacing w:line="360" w:lineRule="auto"/>
              <w:jc w:val="center"/>
              <w:rPr>
                <w:rFonts w:hint="eastAsia" w:ascii="仿宋" w:hAnsi="仿宋" w:eastAsia="仿宋" w:cs="仿宋"/>
                <w:szCs w:val="21"/>
              </w:rPr>
            </w:pPr>
          </w:p>
        </w:tc>
      </w:tr>
      <w:tr w14:paraId="22F88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93" w:type="dxa"/>
            <w:noWrap w:val="0"/>
            <w:vAlign w:val="center"/>
          </w:tcPr>
          <w:p w14:paraId="3ECE9578">
            <w:pPr>
              <w:adjustRightInd w:val="0"/>
              <w:snapToGrid w:val="0"/>
              <w:spacing w:line="360" w:lineRule="auto"/>
              <w:jc w:val="center"/>
              <w:rPr>
                <w:rFonts w:hint="eastAsia" w:ascii="仿宋" w:hAnsi="仿宋" w:eastAsia="仿宋" w:cs="仿宋"/>
                <w:szCs w:val="21"/>
              </w:rPr>
            </w:pPr>
          </w:p>
        </w:tc>
        <w:tc>
          <w:tcPr>
            <w:tcW w:w="1330" w:type="dxa"/>
            <w:noWrap w:val="0"/>
            <w:vAlign w:val="center"/>
          </w:tcPr>
          <w:p w14:paraId="043A771F">
            <w:pPr>
              <w:adjustRightInd w:val="0"/>
              <w:snapToGrid w:val="0"/>
              <w:spacing w:line="360" w:lineRule="auto"/>
              <w:jc w:val="center"/>
              <w:rPr>
                <w:rFonts w:hint="eastAsia" w:ascii="仿宋" w:hAnsi="仿宋" w:eastAsia="仿宋" w:cs="仿宋"/>
                <w:szCs w:val="21"/>
              </w:rPr>
            </w:pPr>
          </w:p>
        </w:tc>
        <w:tc>
          <w:tcPr>
            <w:tcW w:w="1196" w:type="dxa"/>
            <w:noWrap w:val="0"/>
            <w:vAlign w:val="center"/>
          </w:tcPr>
          <w:p w14:paraId="4125C5B9">
            <w:pPr>
              <w:adjustRightInd w:val="0"/>
              <w:snapToGrid w:val="0"/>
              <w:spacing w:line="360" w:lineRule="auto"/>
              <w:jc w:val="center"/>
              <w:rPr>
                <w:rFonts w:hint="eastAsia" w:ascii="仿宋" w:hAnsi="仿宋" w:eastAsia="仿宋" w:cs="仿宋"/>
                <w:szCs w:val="21"/>
              </w:rPr>
            </w:pPr>
          </w:p>
        </w:tc>
        <w:tc>
          <w:tcPr>
            <w:tcW w:w="694" w:type="dxa"/>
            <w:noWrap w:val="0"/>
            <w:vAlign w:val="center"/>
          </w:tcPr>
          <w:p w14:paraId="434D42AA">
            <w:pPr>
              <w:adjustRightInd w:val="0"/>
              <w:snapToGrid w:val="0"/>
              <w:spacing w:line="360" w:lineRule="auto"/>
              <w:jc w:val="center"/>
              <w:rPr>
                <w:rFonts w:hint="eastAsia" w:ascii="仿宋" w:hAnsi="仿宋" w:eastAsia="仿宋" w:cs="仿宋"/>
                <w:szCs w:val="21"/>
              </w:rPr>
            </w:pPr>
          </w:p>
        </w:tc>
        <w:tc>
          <w:tcPr>
            <w:tcW w:w="915" w:type="dxa"/>
            <w:noWrap w:val="0"/>
            <w:vAlign w:val="center"/>
          </w:tcPr>
          <w:p w14:paraId="1B02FBCD">
            <w:pPr>
              <w:adjustRightInd w:val="0"/>
              <w:snapToGrid w:val="0"/>
              <w:spacing w:line="360" w:lineRule="auto"/>
              <w:jc w:val="center"/>
              <w:rPr>
                <w:rFonts w:hint="eastAsia" w:ascii="仿宋" w:hAnsi="仿宋" w:eastAsia="仿宋" w:cs="仿宋"/>
                <w:szCs w:val="21"/>
              </w:rPr>
            </w:pPr>
          </w:p>
        </w:tc>
        <w:tc>
          <w:tcPr>
            <w:tcW w:w="960" w:type="dxa"/>
            <w:noWrap w:val="0"/>
            <w:vAlign w:val="center"/>
          </w:tcPr>
          <w:p w14:paraId="3944F02F">
            <w:pPr>
              <w:adjustRightInd w:val="0"/>
              <w:snapToGrid w:val="0"/>
              <w:spacing w:line="360" w:lineRule="auto"/>
              <w:jc w:val="center"/>
              <w:rPr>
                <w:rFonts w:hint="eastAsia" w:ascii="仿宋" w:hAnsi="仿宋" w:eastAsia="仿宋" w:cs="仿宋"/>
                <w:szCs w:val="21"/>
              </w:rPr>
            </w:pPr>
          </w:p>
        </w:tc>
        <w:tc>
          <w:tcPr>
            <w:tcW w:w="840" w:type="dxa"/>
            <w:noWrap w:val="0"/>
            <w:vAlign w:val="center"/>
          </w:tcPr>
          <w:p w14:paraId="15638ED9">
            <w:pPr>
              <w:adjustRightInd w:val="0"/>
              <w:snapToGrid w:val="0"/>
              <w:spacing w:line="360" w:lineRule="auto"/>
              <w:jc w:val="center"/>
              <w:rPr>
                <w:rFonts w:hint="eastAsia" w:ascii="仿宋" w:hAnsi="仿宋" w:eastAsia="仿宋" w:cs="仿宋"/>
                <w:szCs w:val="21"/>
              </w:rPr>
            </w:pPr>
          </w:p>
        </w:tc>
        <w:tc>
          <w:tcPr>
            <w:tcW w:w="1114" w:type="dxa"/>
            <w:noWrap w:val="0"/>
            <w:vAlign w:val="center"/>
          </w:tcPr>
          <w:p w14:paraId="6A546ADB">
            <w:pPr>
              <w:adjustRightInd w:val="0"/>
              <w:snapToGrid w:val="0"/>
              <w:spacing w:line="360" w:lineRule="auto"/>
              <w:jc w:val="center"/>
              <w:rPr>
                <w:rFonts w:hint="eastAsia" w:ascii="仿宋" w:hAnsi="仿宋" w:eastAsia="仿宋" w:cs="仿宋"/>
                <w:szCs w:val="21"/>
              </w:rPr>
            </w:pPr>
          </w:p>
        </w:tc>
        <w:tc>
          <w:tcPr>
            <w:tcW w:w="1101" w:type="dxa"/>
            <w:noWrap w:val="0"/>
            <w:vAlign w:val="center"/>
          </w:tcPr>
          <w:p w14:paraId="48968489">
            <w:pPr>
              <w:adjustRightInd w:val="0"/>
              <w:snapToGrid w:val="0"/>
              <w:spacing w:line="360" w:lineRule="auto"/>
              <w:jc w:val="center"/>
              <w:rPr>
                <w:rFonts w:hint="eastAsia" w:ascii="仿宋" w:hAnsi="仿宋" w:eastAsia="仿宋" w:cs="仿宋"/>
                <w:szCs w:val="21"/>
              </w:rPr>
            </w:pPr>
          </w:p>
        </w:tc>
      </w:tr>
      <w:tr w14:paraId="3A610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843" w:type="dxa"/>
            <w:gridSpan w:val="9"/>
            <w:noWrap w:val="0"/>
            <w:vAlign w:val="center"/>
          </w:tcPr>
          <w:p w14:paraId="18BCBBF0">
            <w:pPr>
              <w:tabs>
                <w:tab w:val="left" w:pos="1462"/>
              </w:tabs>
              <w:adjustRightInd w:val="0"/>
              <w:snapToGrid w:val="0"/>
              <w:spacing w:line="360" w:lineRule="auto"/>
              <w:jc w:val="left"/>
              <w:rPr>
                <w:rFonts w:hint="eastAsia" w:ascii="仿宋" w:hAnsi="仿宋" w:eastAsia="仿宋" w:cs="仿宋"/>
                <w:szCs w:val="21"/>
              </w:rPr>
            </w:pPr>
            <w:r>
              <w:rPr>
                <w:rFonts w:hint="eastAsia" w:ascii="仿宋" w:hAnsi="仿宋" w:eastAsia="仿宋" w:cs="仿宋"/>
                <w:szCs w:val="21"/>
              </w:rPr>
              <w:t>总金额：¥</w:t>
            </w:r>
            <w:r>
              <w:rPr>
                <w:rFonts w:hint="eastAsia" w:ascii="仿宋" w:hAnsi="仿宋" w:eastAsia="仿宋" w:cs="仿宋"/>
                <w:szCs w:val="21"/>
                <w:u w:val="single"/>
                <w:lang w:val="en-US" w:eastAsia="zh-CN"/>
              </w:rPr>
              <w:t xml:space="preserve">          </w:t>
            </w:r>
            <w:r>
              <w:rPr>
                <w:rFonts w:hint="eastAsia" w:ascii="仿宋" w:hAnsi="仿宋" w:eastAsia="仿宋" w:cs="仿宋"/>
                <w:szCs w:val="21"/>
                <w:lang w:val="en-US" w:eastAsia="zh-CN"/>
              </w:rPr>
              <w:t xml:space="preserve"> </w:t>
            </w:r>
            <w:r>
              <w:rPr>
                <w:rFonts w:hint="eastAsia" w:ascii="仿宋" w:hAnsi="仿宋" w:eastAsia="仿宋" w:cs="仿宋"/>
                <w:szCs w:val="21"/>
              </w:rPr>
              <w:t>（</w:t>
            </w:r>
            <w:r>
              <w:rPr>
                <w:rFonts w:hint="eastAsia" w:ascii="仿宋" w:hAnsi="仿宋" w:eastAsia="仿宋" w:cs="仿宋"/>
                <w:szCs w:val="21"/>
                <w:lang w:eastAsia="zh-CN"/>
              </w:rPr>
              <w:t>人民币</w:t>
            </w:r>
            <w:r>
              <w:rPr>
                <w:rFonts w:hint="eastAsia" w:ascii="仿宋" w:hAnsi="仿宋" w:eastAsia="仿宋" w:cs="仿宋"/>
                <w:szCs w:val="21"/>
                <w:u w:val="single"/>
                <w:lang w:val="en-US" w:eastAsia="zh-CN"/>
              </w:rPr>
              <w:t xml:space="preserve">            </w:t>
            </w:r>
            <w:r>
              <w:rPr>
                <w:rFonts w:hint="eastAsia" w:ascii="仿宋" w:hAnsi="仿宋" w:eastAsia="仿宋" w:cs="仿宋"/>
                <w:szCs w:val="21"/>
              </w:rPr>
              <w:t xml:space="preserve"> ）</w:t>
            </w:r>
          </w:p>
        </w:tc>
      </w:tr>
    </w:tbl>
    <w:p w14:paraId="7210A4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备注：</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1.按</w:t>
      </w:r>
      <w:r>
        <w:rPr>
          <w:rFonts w:hint="eastAsia" w:ascii="仿宋" w:hAnsi="仿宋" w:eastAsia="仿宋" w:cs="仿宋"/>
          <w:sz w:val="24"/>
          <w:szCs w:val="24"/>
          <w:lang w:eastAsia="zh-CN"/>
        </w:rPr>
        <w:t>成交单价</w:t>
      </w:r>
      <w:r>
        <w:rPr>
          <w:rFonts w:hint="eastAsia" w:ascii="仿宋" w:hAnsi="仿宋" w:eastAsia="仿宋" w:cs="仿宋"/>
          <w:sz w:val="24"/>
          <w:szCs w:val="24"/>
        </w:rPr>
        <w:t>及实际</w:t>
      </w:r>
      <w:r>
        <w:rPr>
          <w:rFonts w:hint="eastAsia" w:ascii="仿宋" w:hAnsi="仿宋" w:eastAsia="仿宋" w:cs="仿宋"/>
          <w:sz w:val="24"/>
          <w:szCs w:val="24"/>
          <w:lang w:eastAsia="zh-CN"/>
        </w:rPr>
        <w:t>配送量</w:t>
      </w:r>
      <w:r>
        <w:rPr>
          <w:rFonts w:hint="eastAsia" w:ascii="仿宋" w:hAnsi="仿宋" w:eastAsia="仿宋" w:cs="仿宋"/>
          <w:sz w:val="24"/>
          <w:szCs w:val="24"/>
        </w:rPr>
        <w:t>结算；</w:t>
      </w:r>
    </w:p>
    <w:p w14:paraId="299BC3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Cs/>
          <w:sz w:val="24"/>
          <w:szCs w:val="24"/>
        </w:rPr>
      </w:pPr>
      <w:r>
        <w:rPr>
          <w:rFonts w:hint="eastAsia" w:ascii="仿宋" w:hAnsi="仿宋" w:eastAsia="仿宋" w:cs="仿宋"/>
          <w:b/>
          <w:sz w:val="24"/>
          <w:szCs w:val="24"/>
          <w:lang w:eastAsia="zh-CN"/>
        </w:rPr>
        <w:t>二、</w:t>
      </w:r>
      <w:r>
        <w:rPr>
          <w:rFonts w:hint="eastAsia" w:ascii="仿宋" w:hAnsi="仿宋" w:eastAsia="仿宋" w:cs="仿宋"/>
          <w:b/>
          <w:sz w:val="24"/>
          <w:szCs w:val="24"/>
        </w:rPr>
        <w:t>商务约定</w:t>
      </w:r>
      <w:r>
        <w:rPr>
          <w:rFonts w:hint="eastAsia" w:ascii="仿宋" w:hAnsi="仿宋" w:eastAsia="仿宋" w:cs="仿宋"/>
          <w:bCs/>
          <w:sz w:val="24"/>
          <w:szCs w:val="24"/>
        </w:rPr>
        <w:t xml:space="preserve">  </w:t>
      </w:r>
      <w:bookmarkEnd w:id="0"/>
    </w:p>
    <w:p w14:paraId="6BEB09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bCs/>
          <w:sz w:val="24"/>
          <w:szCs w:val="24"/>
          <w:lang w:eastAsia="zh-CN"/>
        </w:rPr>
        <w:t>（一）</w:t>
      </w:r>
      <w:r>
        <w:rPr>
          <w:rFonts w:hint="eastAsia" w:ascii="仿宋" w:hAnsi="仿宋" w:eastAsia="仿宋" w:cs="仿宋"/>
          <w:bCs/>
          <w:sz w:val="24"/>
          <w:szCs w:val="24"/>
        </w:rPr>
        <w:t>交货地点：西北妇女儿童医院</w:t>
      </w:r>
      <w:r>
        <w:rPr>
          <w:rFonts w:hint="eastAsia" w:ascii="仿宋" w:hAnsi="仿宋" w:eastAsia="仿宋" w:cs="仿宋"/>
          <w:bCs/>
          <w:sz w:val="24"/>
          <w:szCs w:val="24"/>
          <w:lang w:eastAsia="zh-CN"/>
        </w:rPr>
        <w:t>指定地点</w:t>
      </w:r>
      <w:r>
        <w:rPr>
          <w:rFonts w:hint="eastAsia" w:ascii="仿宋" w:hAnsi="仿宋" w:eastAsia="仿宋" w:cs="仿宋"/>
          <w:bCs/>
          <w:sz w:val="24"/>
          <w:szCs w:val="24"/>
        </w:rPr>
        <w:t xml:space="preserve">。 </w:t>
      </w:r>
    </w:p>
    <w:p w14:paraId="4C3E85F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（二）</w:t>
      </w:r>
      <w:r>
        <w:rPr>
          <w:rFonts w:hint="eastAsia" w:ascii="仿宋" w:hAnsi="仿宋" w:eastAsia="仿宋" w:cs="仿宋"/>
          <w:bCs/>
          <w:color w:val="auto"/>
          <w:sz w:val="24"/>
          <w:szCs w:val="24"/>
        </w:rPr>
        <w:t>供货期：</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kern w:val="2"/>
          <w:sz w:val="24"/>
          <w:szCs w:val="24"/>
          <w:lang w:val="en-US" w:eastAsia="zh-CN" w:bidi="ar-SA"/>
        </w:rPr>
        <w:t>接甲方通知后5个工作日内供货。</w:t>
      </w:r>
    </w:p>
    <w:p w14:paraId="7871DE5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kern w:val="0"/>
          <w:sz w:val="24"/>
          <w:szCs w:val="24"/>
        </w:rPr>
      </w:pPr>
      <w:r>
        <w:rPr>
          <w:rFonts w:hint="eastAsia" w:ascii="仿宋" w:hAnsi="仿宋" w:eastAsia="仿宋" w:cs="仿宋"/>
          <w:bCs/>
          <w:color w:val="auto"/>
          <w:sz w:val="24"/>
          <w:szCs w:val="24"/>
          <w:lang w:eastAsia="zh-CN"/>
        </w:rPr>
        <w:t>（三）</w:t>
      </w:r>
      <w:r>
        <w:rPr>
          <w:rFonts w:hint="eastAsia" w:ascii="仿宋" w:hAnsi="仿宋" w:eastAsia="仿宋" w:cs="仿宋"/>
          <w:bCs/>
          <w:color w:val="auto"/>
          <w:sz w:val="24"/>
          <w:szCs w:val="24"/>
        </w:rPr>
        <w:t>包装标准：符合国家相关标准，运输，贮存，保险，安装等，由乙方负责。</w:t>
      </w:r>
    </w:p>
    <w:p w14:paraId="1D967D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kern w:val="0"/>
          <w:sz w:val="24"/>
          <w:szCs w:val="24"/>
        </w:rPr>
      </w:pPr>
      <w:r>
        <w:rPr>
          <w:rFonts w:hint="eastAsia" w:ascii="仿宋" w:hAnsi="仿宋" w:eastAsia="仿宋" w:cs="仿宋"/>
          <w:bCs/>
          <w:sz w:val="24"/>
          <w:szCs w:val="24"/>
          <w:lang w:val="en-US" w:eastAsia="zh-CN"/>
        </w:rPr>
        <w:t>(四）</w:t>
      </w:r>
      <w:r>
        <w:rPr>
          <w:rFonts w:hint="eastAsia" w:ascii="仿宋" w:hAnsi="仿宋" w:eastAsia="仿宋" w:cs="仿宋"/>
          <w:bCs/>
          <w:sz w:val="24"/>
          <w:szCs w:val="24"/>
        </w:rPr>
        <w:t>验收：西北妇女儿童医院医疗设备科主持，与使用科室及</w:t>
      </w:r>
      <w:r>
        <w:rPr>
          <w:rFonts w:hint="eastAsia" w:ascii="仿宋" w:hAnsi="仿宋" w:eastAsia="仿宋" w:cs="仿宋"/>
          <w:bCs/>
          <w:sz w:val="24"/>
          <w:szCs w:val="24"/>
          <w:lang w:eastAsia="zh-CN"/>
        </w:rPr>
        <w:t>乙方</w:t>
      </w:r>
      <w:r>
        <w:rPr>
          <w:rFonts w:hint="eastAsia" w:ascii="仿宋" w:hAnsi="仿宋" w:eastAsia="仿宋" w:cs="仿宋"/>
          <w:bCs/>
          <w:sz w:val="24"/>
          <w:szCs w:val="24"/>
        </w:rPr>
        <w:t>共同验收。</w:t>
      </w:r>
    </w:p>
    <w:p w14:paraId="7DE11B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对</w:t>
      </w:r>
      <w:r>
        <w:rPr>
          <w:rFonts w:hint="eastAsia" w:ascii="仿宋" w:hAnsi="仿宋" w:eastAsia="仿宋" w:cs="仿宋"/>
          <w:sz w:val="24"/>
          <w:szCs w:val="24"/>
          <w:lang w:eastAsia="zh-CN"/>
        </w:rPr>
        <w:t>耗材</w:t>
      </w:r>
      <w:r>
        <w:rPr>
          <w:rFonts w:hint="eastAsia" w:ascii="仿宋" w:hAnsi="仿宋" w:eastAsia="仿宋" w:cs="仿宋"/>
          <w:sz w:val="24"/>
          <w:szCs w:val="24"/>
        </w:rPr>
        <w:t>进行相关技术和质量验收。其内容包括确认</w:t>
      </w:r>
      <w:r>
        <w:rPr>
          <w:rFonts w:hint="eastAsia" w:ascii="仿宋" w:hAnsi="仿宋" w:eastAsia="仿宋" w:cs="仿宋"/>
          <w:kern w:val="0"/>
          <w:sz w:val="24"/>
          <w:szCs w:val="24"/>
        </w:rPr>
        <w:t>购进产品的企业名称、产品名称、型号规格、产品数量、生产批号、产品有效期、</w:t>
      </w:r>
      <w:r>
        <w:rPr>
          <w:rFonts w:hint="eastAsia" w:ascii="仿宋" w:hAnsi="仿宋" w:eastAsia="仿宋" w:cs="仿宋"/>
          <w:sz w:val="24"/>
          <w:szCs w:val="24"/>
        </w:rPr>
        <w:t>产地、合格证书、注册证号、产品编号等，并对其产品技术指标、性能参数进行逐项检查。</w:t>
      </w:r>
    </w:p>
    <w:p w14:paraId="14D855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所供</w:t>
      </w:r>
      <w:r>
        <w:rPr>
          <w:rFonts w:hint="eastAsia" w:ascii="仿宋" w:hAnsi="仿宋" w:eastAsia="仿宋" w:cs="仿宋"/>
          <w:sz w:val="24"/>
          <w:szCs w:val="24"/>
          <w:lang w:eastAsia="zh-CN"/>
        </w:rPr>
        <w:t>耗材</w:t>
      </w:r>
      <w:r>
        <w:rPr>
          <w:rFonts w:hint="eastAsia" w:ascii="仿宋" w:hAnsi="仿宋" w:eastAsia="仿宋" w:cs="仿宋"/>
          <w:sz w:val="24"/>
          <w:szCs w:val="24"/>
        </w:rPr>
        <w:t>的指标、性能参数及临床效果（具体技术规格及标准详见附件1，</w:t>
      </w:r>
      <w:r>
        <w:rPr>
          <w:rFonts w:hint="eastAsia" w:ascii="仿宋" w:hAnsi="仿宋" w:eastAsia="仿宋" w:cs="仿宋"/>
          <w:bCs/>
          <w:sz w:val="24"/>
          <w:szCs w:val="24"/>
        </w:rPr>
        <w:t>产品配置清单见附件2</w:t>
      </w:r>
      <w:r>
        <w:rPr>
          <w:rFonts w:hint="eastAsia" w:ascii="仿宋" w:hAnsi="仿宋" w:eastAsia="仿宋" w:cs="仿宋"/>
          <w:sz w:val="24"/>
          <w:szCs w:val="24"/>
        </w:rPr>
        <w:t>）经验收达不到招标文件要求或在使用中发现甲方不能容忍的缺陷，乙方应免费更换或退货，情况不能有效控制的，甲方有权终止合同，取消</w:t>
      </w:r>
      <w:r>
        <w:rPr>
          <w:rFonts w:hint="eastAsia" w:ascii="仿宋" w:hAnsi="仿宋" w:eastAsia="仿宋" w:cs="仿宋"/>
          <w:sz w:val="24"/>
          <w:szCs w:val="24"/>
          <w:lang w:eastAsia="zh-CN"/>
        </w:rPr>
        <w:t>乙方</w:t>
      </w:r>
      <w:r>
        <w:rPr>
          <w:rFonts w:hint="eastAsia" w:ascii="仿宋" w:hAnsi="仿宋" w:eastAsia="仿宋" w:cs="仿宋"/>
          <w:sz w:val="24"/>
          <w:szCs w:val="24"/>
        </w:rPr>
        <w:t>的供货资格，且可按本协议的违约责任条款对乙方行为进行追究。</w:t>
      </w:r>
    </w:p>
    <w:p w14:paraId="670239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（五）</w:t>
      </w:r>
      <w:r>
        <w:rPr>
          <w:rFonts w:hint="eastAsia" w:ascii="仿宋" w:hAnsi="仿宋" w:eastAsia="仿宋" w:cs="仿宋"/>
          <w:bCs/>
          <w:sz w:val="24"/>
          <w:szCs w:val="24"/>
        </w:rPr>
        <w:t>货款结算：以</w:t>
      </w:r>
      <w:r>
        <w:rPr>
          <w:rFonts w:hint="eastAsia" w:ascii="仿宋" w:hAnsi="仿宋" w:eastAsia="仿宋" w:cs="仿宋"/>
          <w:bCs/>
          <w:sz w:val="24"/>
          <w:szCs w:val="24"/>
          <w:lang w:eastAsia="zh-CN"/>
        </w:rPr>
        <w:t>成交单价</w:t>
      </w:r>
      <w:r>
        <w:rPr>
          <w:rFonts w:hint="eastAsia" w:ascii="仿宋" w:hAnsi="仿宋" w:eastAsia="仿宋" w:cs="仿宋"/>
          <w:bCs/>
          <w:sz w:val="24"/>
          <w:szCs w:val="24"/>
        </w:rPr>
        <w:t>为依据，按实际配送量结算。验收合格入库后，回款周期5</w:t>
      </w:r>
      <w:r>
        <w:rPr>
          <w:rFonts w:hint="eastAsia" w:ascii="仿宋" w:hAnsi="仿宋" w:eastAsia="仿宋" w:cs="仿宋"/>
          <w:bCs/>
          <w:sz w:val="24"/>
          <w:szCs w:val="24"/>
          <w:lang w:val="en-US" w:eastAsia="zh-CN"/>
        </w:rPr>
        <w:t>个</w:t>
      </w:r>
      <w:r>
        <w:rPr>
          <w:rFonts w:hint="eastAsia" w:ascii="仿宋" w:hAnsi="仿宋" w:eastAsia="仿宋" w:cs="仿宋"/>
          <w:bCs/>
          <w:sz w:val="24"/>
          <w:szCs w:val="24"/>
        </w:rPr>
        <w:t>月。</w:t>
      </w:r>
    </w:p>
    <w:p w14:paraId="5DF8899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三、售后承诺及服务</w:t>
      </w:r>
    </w:p>
    <w:p w14:paraId="7AAFC2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乙方具有可靠的售后服务机构，</w:t>
      </w:r>
      <w:r>
        <w:rPr>
          <w:rFonts w:hint="eastAsia" w:ascii="仿宋" w:hAnsi="仿宋" w:eastAsia="仿宋" w:cs="仿宋"/>
          <w:bCs/>
          <w:sz w:val="24"/>
          <w:szCs w:val="24"/>
          <w:lang w:eastAsia="zh-CN"/>
        </w:rPr>
        <w:t>保障耗材</w:t>
      </w:r>
      <w:r>
        <w:rPr>
          <w:rFonts w:hint="eastAsia" w:ascii="仿宋" w:hAnsi="仿宋" w:eastAsia="仿宋" w:cs="仿宋"/>
          <w:bCs/>
          <w:sz w:val="24"/>
          <w:szCs w:val="24"/>
        </w:rPr>
        <w:t>的售后服务。</w:t>
      </w:r>
    </w:p>
    <w:p w14:paraId="6D30B92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lang w:eastAsia="zh-CN"/>
        </w:rPr>
      </w:pPr>
      <w:r>
        <w:rPr>
          <w:rFonts w:hint="eastAsia" w:ascii="仿宋" w:hAnsi="仿宋" w:eastAsia="仿宋" w:cs="仿宋"/>
          <w:bCs/>
          <w:sz w:val="24"/>
          <w:szCs w:val="24"/>
        </w:rPr>
        <w:t>乙方对</w:t>
      </w:r>
      <w:r>
        <w:rPr>
          <w:rFonts w:hint="eastAsia" w:ascii="仿宋" w:hAnsi="仿宋" w:eastAsia="仿宋" w:cs="仿宋"/>
          <w:bCs/>
          <w:sz w:val="24"/>
          <w:szCs w:val="24"/>
          <w:lang w:eastAsia="zh-CN"/>
        </w:rPr>
        <w:t>耗材</w:t>
      </w:r>
      <w:r>
        <w:rPr>
          <w:rFonts w:hint="eastAsia" w:ascii="仿宋" w:hAnsi="仿宋" w:eastAsia="仿宋" w:cs="仿宋"/>
          <w:bCs/>
          <w:sz w:val="24"/>
          <w:szCs w:val="24"/>
        </w:rPr>
        <w:t>提供售后服务保障。除甲方在招标</w:t>
      </w:r>
      <w:r>
        <w:rPr>
          <w:rFonts w:hint="eastAsia" w:ascii="仿宋" w:hAnsi="仿宋" w:eastAsia="仿宋" w:cs="仿宋"/>
          <w:bCs/>
          <w:sz w:val="24"/>
          <w:szCs w:val="24"/>
          <w:lang w:eastAsia="zh-CN"/>
        </w:rPr>
        <w:t>文件</w:t>
      </w:r>
      <w:r>
        <w:rPr>
          <w:rFonts w:hint="eastAsia" w:ascii="仿宋" w:hAnsi="仿宋" w:eastAsia="仿宋" w:cs="仿宋"/>
          <w:bCs/>
          <w:sz w:val="24"/>
          <w:szCs w:val="24"/>
        </w:rPr>
        <w:t>和乙方在投标</w:t>
      </w:r>
      <w:r>
        <w:rPr>
          <w:rFonts w:hint="eastAsia" w:ascii="仿宋" w:hAnsi="仿宋" w:eastAsia="仿宋" w:cs="仿宋"/>
          <w:bCs/>
          <w:sz w:val="24"/>
          <w:szCs w:val="24"/>
          <w:lang w:eastAsia="zh-CN"/>
        </w:rPr>
        <w:t>文件</w:t>
      </w:r>
      <w:r>
        <w:rPr>
          <w:rFonts w:hint="eastAsia" w:ascii="仿宋" w:hAnsi="仿宋" w:eastAsia="仿宋" w:cs="仿宋"/>
          <w:bCs/>
          <w:sz w:val="24"/>
          <w:szCs w:val="24"/>
        </w:rPr>
        <w:t>中承诺的服务方式和内容外，</w:t>
      </w:r>
      <w:r>
        <w:rPr>
          <w:rFonts w:hint="eastAsia" w:ascii="仿宋" w:hAnsi="仿宋" w:eastAsia="仿宋" w:cs="仿宋"/>
          <w:bCs/>
          <w:sz w:val="24"/>
          <w:szCs w:val="24"/>
          <w:lang w:eastAsia="zh-CN"/>
        </w:rPr>
        <w:t>还包括乙方在招标现场澄清及承诺的服务。</w:t>
      </w:r>
    </w:p>
    <w:p w14:paraId="325AF5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bCs/>
          <w:sz w:val="24"/>
          <w:szCs w:val="24"/>
          <w:lang w:eastAsia="zh-CN"/>
        </w:rPr>
        <w:t>（二）耗材</w:t>
      </w:r>
      <w:r>
        <w:rPr>
          <w:rFonts w:hint="eastAsia" w:ascii="仿宋" w:hAnsi="仿宋" w:eastAsia="仿宋" w:cs="仿宋"/>
          <w:bCs/>
          <w:sz w:val="24"/>
          <w:szCs w:val="24"/>
        </w:rPr>
        <w:t>质量保证。</w:t>
      </w:r>
      <w:r>
        <w:rPr>
          <w:rFonts w:hint="eastAsia" w:ascii="仿宋" w:hAnsi="仿宋" w:eastAsia="仿宋" w:cs="仿宋"/>
          <w:bCs/>
          <w:sz w:val="24"/>
          <w:szCs w:val="24"/>
          <w:lang w:eastAsia="zh-CN"/>
        </w:rPr>
        <w:t>耗材进院后的有效期不小于产品有效期的1/2 ，近效期产品无条件更换</w:t>
      </w:r>
      <w:r>
        <w:rPr>
          <w:rFonts w:hint="eastAsia" w:ascii="仿宋" w:hAnsi="仿宋" w:eastAsia="仿宋" w:cs="仿宋"/>
          <w:sz w:val="24"/>
          <w:szCs w:val="24"/>
        </w:rPr>
        <w:t>。</w:t>
      </w:r>
    </w:p>
    <w:p w14:paraId="5DD3ED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（三）</w:t>
      </w:r>
      <w:r>
        <w:rPr>
          <w:rFonts w:hint="eastAsia" w:ascii="仿宋" w:hAnsi="仿宋" w:eastAsia="仿宋" w:cs="仿宋"/>
          <w:bCs/>
          <w:sz w:val="24"/>
          <w:szCs w:val="24"/>
        </w:rPr>
        <w:t>免费培训操作人员；</w:t>
      </w:r>
    </w:p>
    <w:p w14:paraId="7A47F3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bCs/>
          <w:sz w:val="24"/>
          <w:szCs w:val="24"/>
          <w:lang w:eastAsia="zh-CN"/>
        </w:rPr>
        <w:t>（四）</w:t>
      </w:r>
      <w:r>
        <w:rPr>
          <w:rFonts w:hint="eastAsia" w:ascii="仿宋" w:hAnsi="仿宋" w:eastAsia="仿宋" w:cs="仿宋"/>
          <w:bCs/>
          <w:sz w:val="24"/>
          <w:szCs w:val="24"/>
        </w:rPr>
        <w:t>技术支持响应时间 2小时，必要时 24 小时到位。</w:t>
      </w:r>
    </w:p>
    <w:p w14:paraId="733180F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四、违约责任</w:t>
      </w:r>
    </w:p>
    <w:p w14:paraId="4B66ED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bookmarkStart w:id="1" w:name="_GoBack"/>
      <w:bookmarkEnd w:id="1"/>
      <w:r>
        <w:rPr>
          <w:rFonts w:hint="eastAsia" w:ascii="仿宋" w:hAnsi="仿宋" w:eastAsia="仿宋" w:cs="仿宋"/>
          <w:bCs/>
          <w:sz w:val="24"/>
          <w:szCs w:val="24"/>
        </w:rPr>
        <w:t>有下列情况之一的，甲方有权认定乙方违约并由乙方承担相应责任：</w:t>
      </w:r>
      <w:r>
        <w:rPr>
          <w:rFonts w:hint="eastAsia" w:ascii="仿宋" w:hAnsi="仿宋" w:eastAsia="仿宋" w:cs="仿宋"/>
          <w:sz w:val="24"/>
          <w:szCs w:val="24"/>
        </w:rPr>
        <w:t xml:space="preserve"> </w:t>
      </w:r>
    </w:p>
    <w:p w14:paraId="0D9603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（一）</w:t>
      </w:r>
      <w:r>
        <w:rPr>
          <w:rFonts w:hint="eastAsia" w:ascii="仿宋" w:hAnsi="仿宋" w:eastAsia="仿宋" w:cs="仿宋"/>
          <w:sz w:val="24"/>
          <w:szCs w:val="24"/>
        </w:rPr>
        <w:t>乙方须按照甲方的需求按时供货，合同执行期间，未征得甲方同意，乙方不得无故延误供货时限和终止采供合同。否则甲方有权没收挂帐货款，作为对甲方损失的部分补偿。</w:t>
      </w:r>
    </w:p>
    <w:p w14:paraId="745F52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sz w:val="24"/>
          <w:szCs w:val="24"/>
          <w:lang w:eastAsia="zh-CN"/>
        </w:rPr>
        <w:t>（二）</w:t>
      </w:r>
      <w:r>
        <w:rPr>
          <w:rFonts w:hint="eastAsia" w:ascii="仿宋" w:hAnsi="仿宋" w:eastAsia="仿宋" w:cs="仿宋"/>
          <w:sz w:val="24"/>
          <w:szCs w:val="24"/>
        </w:rPr>
        <w:t>乙方未按合同、招标</w:t>
      </w:r>
      <w:r>
        <w:rPr>
          <w:rFonts w:hint="eastAsia" w:ascii="仿宋" w:hAnsi="仿宋" w:eastAsia="仿宋" w:cs="仿宋"/>
          <w:sz w:val="24"/>
          <w:szCs w:val="24"/>
          <w:lang w:eastAsia="zh-CN"/>
        </w:rPr>
        <w:t>文件</w:t>
      </w:r>
      <w:r>
        <w:rPr>
          <w:rFonts w:hint="eastAsia" w:ascii="仿宋" w:hAnsi="仿宋" w:eastAsia="仿宋" w:cs="仿宋"/>
          <w:sz w:val="24"/>
          <w:szCs w:val="24"/>
        </w:rPr>
        <w:t>的要求或投标</w:t>
      </w:r>
      <w:r>
        <w:rPr>
          <w:rFonts w:hint="eastAsia" w:ascii="仿宋" w:hAnsi="仿宋" w:eastAsia="仿宋" w:cs="仿宋"/>
          <w:sz w:val="24"/>
          <w:szCs w:val="24"/>
          <w:lang w:eastAsia="zh-CN"/>
        </w:rPr>
        <w:t>文件</w:t>
      </w:r>
      <w:r>
        <w:rPr>
          <w:rFonts w:hint="eastAsia" w:ascii="仿宋" w:hAnsi="仿宋" w:eastAsia="仿宋" w:cs="仿宋"/>
          <w:sz w:val="24"/>
          <w:szCs w:val="24"/>
        </w:rPr>
        <w:t>的承诺按时提供产品，或产品质量不能满足甲方技术要求或乙方的相关服务不到位，影响甲方正常的医疗工作，甲方有权终止合同，取消乙方的供货资格，有权没收乙方的挂帐货款。</w:t>
      </w:r>
    </w:p>
    <w:p w14:paraId="758D6C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（三）</w:t>
      </w:r>
      <w:r>
        <w:rPr>
          <w:rFonts w:hint="eastAsia" w:ascii="仿宋" w:hAnsi="仿宋" w:eastAsia="仿宋" w:cs="仿宋"/>
          <w:bCs/>
          <w:sz w:val="24"/>
          <w:szCs w:val="24"/>
        </w:rPr>
        <w:t>乙方不得以任何形式违反国家关于医药购销领域不正当竞争的有关规定。对可能涉嫌不正当竞争的供应商，一经查证，坚决取消供应资格，三年内不许参加医院的</w:t>
      </w:r>
      <w:r>
        <w:rPr>
          <w:rFonts w:hint="eastAsia" w:ascii="仿宋" w:hAnsi="仿宋" w:eastAsia="仿宋" w:cs="仿宋"/>
          <w:bCs/>
          <w:sz w:val="24"/>
          <w:szCs w:val="24"/>
          <w:lang w:eastAsia="zh-CN"/>
        </w:rPr>
        <w:t>耗材</w:t>
      </w:r>
      <w:r>
        <w:rPr>
          <w:rFonts w:hint="eastAsia" w:ascii="仿宋" w:hAnsi="仿宋" w:eastAsia="仿宋" w:cs="仿宋"/>
          <w:bCs/>
          <w:sz w:val="24"/>
          <w:szCs w:val="24"/>
        </w:rPr>
        <w:t>供销活动，并按上级的有关规定执行处罚。</w:t>
      </w:r>
    </w:p>
    <w:p w14:paraId="4B3C282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仿宋" w:hAnsi="仿宋" w:eastAsia="仿宋" w:cs="仿宋"/>
          <w:b/>
          <w:sz w:val="24"/>
          <w:szCs w:val="24"/>
        </w:rPr>
      </w:pPr>
      <w:r>
        <w:rPr>
          <w:rFonts w:hint="eastAsia" w:ascii="仿宋" w:hAnsi="仿宋" w:eastAsia="仿宋" w:cs="仿宋"/>
          <w:b/>
          <w:sz w:val="24"/>
          <w:szCs w:val="24"/>
        </w:rPr>
        <w:t>五、其它约定</w:t>
      </w:r>
    </w:p>
    <w:p w14:paraId="5EC2F1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（一）在甲方重新组织招标前，乙方在未征得甲方同意前，不得终止</w:t>
      </w:r>
      <w:r>
        <w:rPr>
          <w:rFonts w:hint="eastAsia" w:ascii="仿宋" w:hAnsi="仿宋" w:eastAsia="仿宋" w:cs="仿宋"/>
          <w:bCs/>
          <w:sz w:val="24"/>
          <w:szCs w:val="24"/>
          <w:lang w:eastAsia="zh-CN"/>
        </w:rPr>
        <w:t>耗材</w:t>
      </w:r>
      <w:r>
        <w:rPr>
          <w:rFonts w:hint="eastAsia" w:ascii="仿宋" w:hAnsi="仿宋" w:eastAsia="仿宋" w:cs="仿宋"/>
          <w:bCs/>
          <w:sz w:val="24"/>
          <w:szCs w:val="24"/>
        </w:rPr>
        <w:t>的供应。</w:t>
      </w:r>
    </w:p>
    <w:p w14:paraId="6AAF66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（二）本合同若与甲方的上级管理机关的政策性行为或其他规定发生冲突，甲方有权与乙方协商调整合同内容或终止合同执行。</w:t>
      </w:r>
    </w:p>
    <w:p w14:paraId="742FDD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（三）因为不可抗拒的因素致使合同不能履行的，或有违约争议，双方协商解决，协商不成，由甲方所在地人民法院裁决。</w:t>
      </w:r>
    </w:p>
    <w:p w14:paraId="14AEB3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（四）招标文件、投标文件也是合同的组成部分，具有同等法律效力，合同中未约定的以招标文件、投标文件为准。</w:t>
      </w:r>
    </w:p>
    <w:p w14:paraId="158DA9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r>
        <w:rPr>
          <w:rFonts w:hint="eastAsia" w:ascii="仿宋" w:hAnsi="仿宋" w:eastAsia="仿宋" w:cs="仿宋"/>
          <w:bCs/>
          <w:sz w:val="24"/>
          <w:szCs w:val="24"/>
        </w:rPr>
        <w:t>（五）本合同一式肆份，甲方持叁份，乙方持壹份。甲乙双方</w:t>
      </w:r>
      <w:r>
        <w:rPr>
          <w:rFonts w:hint="eastAsia" w:ascii="仿宋" w:hAnsi="仿宋" w:eastAsia="仿宋" w:cs="仿宋"/>
          <w:bCs/>
          <w:sz w:val="24"/>
          <w:szCs w:val="24"/>
          <w:lang w:eastAsia="zh-CN"/>
        </w:rPr>
        <w:t>法定代表人</w:t>
      </w:r>
      <w:r>
        <w:rPr>
          <w:rFonts w:hint="eastAsia" w:ascii="仿宋" w:hAnsi="仿宋" w:eastAsia="仿宋" w:cs="仿宋"/>
          <w:bCs/>
          <w:sz w:val="24"/>
          <w:szCs w:val="24"/>
        </w:rPr>
        <w:t>签字或盖章</w:t>
      </w:r>
      <w:r>
        <w:rPr>
          <w:rFonts w:hint="eastAsia" w:ascii="仿宋" w:hAnsi="仿宋" w:eastAsia="仿宋" w:cs="仿宋"/>
          <w:bCs/>
          <w:sz w:val="24"/>
          <w:szCs w:val="24"/>
          <w:lang w:eastAsia="zh-CN"/>
        </w:rPr>
        <w:t>并加盖公章</w:t>
      </w:r>
      <w:r>
        <w:rPr>
          <w:rFonts w:hint="eastAsia" w:ascii="仿宋" w:hAnsi="仿宋" w:eastAsia="仿宋" w:cs="仿宋"/>
          <w:bCs/>
          <w:sz w:val="24"/>
          <w:szCs w:val="24"/>
        </w:rPr>
        <w:t>后生效。</w:t>
      </w:r>
    </w:p>
    <w:p w14:paraId="5E26F3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bCs/>
          <w:sz w:val="24"/>
          <w:szCs w:val="24"/>
        </w:rPr>
      </w:pPr>
    </w:p>
    <w:p w14:paraId="2366C0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sz w:val="24"/>
          <w:szCs w:val="24"/>
        </w:rPr>
      </w:pPr>
    </w:p>
    <w:p w14:paraId="0A43A0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甲    方                           乙    方</w:t>
      </w:r>
    </w:p>
    <w:p w14:paraId="33648A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单位名称：西北妇女儿童医院         单位名称： </w:t>
      </w:r>
    </w:p>
    <w:p w14:paraId="5477E4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   址：西安市雁翔路1616号       地    址：</w:t>
      </w:r>
    </w:p>
    <w:p w14:paraId="497457D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法</w:t>
      </w:r>
      <w:r>
        <w:rPr>
          <w:rFonts w:hint="eastAsia" w:ascii="仿宋" w:hAnsi="仿宋" w:eastAsia="仿宋" w:cs="仿宋"/>
          <w:sz w:val="24"/>
          <w:szCs w:val="24"/>
          <w:lang w:eastAsia="zh-CN"/>
        </w:rPr>
        <w:t>定</w:t>
      </w:r>
      <w:r>
        <w:rPr>
          <w:rFonts w:hint="eastAsia" w:ascii="仿宋" w:hAnsi="仿宋" w:eastAsia="仿宋" w:cs="仿宋"/>
          <w:sz w:val="24"/>
          <w:szCs w:val="24"/>
        </w:rPr>
        <w:t>代表人：                         法</w:t>
      </w:r>
      <w:r>
        <w:rPr>
          <w:rFonts w:hint="eastAsia" w:ascii="仿宋" w:hAnsi="仿宋" w:eastAsia="仿宋" w:cs="仿宋"/>
          <w:sz w:val="24"/>
          <w:szCs w:val="24"/>
          <w:lang w:eastAsia="zh-CN"/>
        </w:rPr>
        <w:t>定</w:t>
      </w:r>
      <w:r>
        <w:rPr>
          <w:rFonts w:hint="eastAsia" w:ascii="仿宋" w:hAnsi="仿宋" w:eastAsia="仿宋" w:cs="仿宋"/>
          <w:sz w:val="24"/>
          <w:szCs w:val="24"/>
        </w:rPr>
        <w:t>代表人：</w:t>
      </w:r>
    </w:p>
    <w:p w14:paraId="6685ED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联系电话：</w:t>
      </w:r>
    </w:p>
    <w:p w14:paraId="3EA7A7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开 户 行：</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开 户 行：</w:t>
      </w:r>
    </w:p>
    <w:p w14:paraId="41AB41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账    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账    号：</w:t>
      </w:r>
    </w:p>
    <w:p w14:paraId="32FF2D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纳税人识别号：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纳税人识别号：</w:t>
      </w:r>
    </w:p>
    <w:p w14:paraId="7F5788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仿宋" w:hAnsi="仿宋" w:eastAsia="仿宋" w:cs="仿宋"/>
          <w:sz w:val="24"/>
          <w:szCs w:val="24"/>
        </w:rPr>
      </w:pPr>
    </w:p>
    <w:p w14:paraId="01B4E1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签订日期：</w:t>
      </w:r>
      <w:r>
        <w:rPr>
          <w:rFonts w:hint="eastAsia" w:ascii="仿宋" w:hAnsi="仿宋" w:eastAsia="仿宋" w:cs="仿宋"/>
          <w:bCs/>
          <w:sz w:val="24"/>
          <w:szCs w:val="24"/>
        </w:rPr>
        <w:t xml:space="preserve">   年   月   日</w:t>
      </w:r>
    </w:p>
    <w:p w14:paraId="1AB930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仿宋" w:hAnsi="仿宋" w:eastAsia="仿宋" w:cs="仿宋"/>
          <w:sz w:val="24"/>
          <w:szCs w:val="24"/>
        </w:rPr>
        <w:t>签订地点：西安市</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D7611">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CC8EC8"/>
    <w:multiLevelType w:val="singleLevel"/>
    <w:tmpl w:val="13CC8E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E4AEF"/>
    <w:rsid w:val="174C7453"/>
    <w:rsid w:val="1EF74148"/>
    <w:rsid w:val="32F8033F"/>
    <w:rsid w:val="6578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cs="Times New Roman"/>
      <w:kern w:val="0"/>
      <w:sz w:val="20"/>
    </w:rPr>
  </w:style>
  <w:style w:type="paragraph" w:styleId="3">
    <w:name w:val="Body Text Indent"/>
    <w:basedOn w:val="1"/>
    <w:qFormat/>
    <w:uiPriority w:val="0"/>
    <w:pPr>
      <w:spacing w:after="120"/>
      <w:ind w:left="420" w:leftChars="200"/>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3"/>
    <w:unhideWhenUsed/>
    <w:qFormat/>
    <w:uiPriority w:val="0"/>
    <w:pPr>
      <w:ind w:firstLine="420" w:firstLineChars="200"/>
    </w:pPr>
    <w:rPr>
      <w:szCs w:val="20"/>
    </w:rPr>
  </w:style>
  <w:style w:type="character" w:styleId="8">
    <w:name w:val="Strong"/>
    <w:qFormat/>
    <w:uiPriority w:val="22"/>
    <w:rPr>
      <w:b/>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2978</Words>
  <Characters>3119</Characters>
  <Lines>0</Lines>
  <Paragraphs>0</Paragraphs>
  <TotalTime>1</TotalTime>
  <ScaleCrop>false</ScaleCrop>
  <LinksUpToDate>false</LinksUpToDate>
  <CharactersWithSpaces>3222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2024-11-22T08:45:00Z</dcterms:created>
  <dc:creator>Administrator</dc:creator>
  <cp:lastModifiedBy>连杰</cp:lastModifiedBy>
  <dcterms:modified xsi:type="dcterms:W3CDTF">2025-07-14T07:46:22Z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88C6FBD9A6B74D999F7B53A33D40A683_12</vt:lpwstr>
  </property>
  <property fmtid="{D5CDD505-2E9C-101B-9397-08002B2CF9AE}" pid="4" name="KSOTemplateDocerSaveRecord">
    <vt:lpwstr>eyJoZGlkIjoiYjY1OWZmN2YwYjlkNTNiNTA5NjRhNGNmYzlmZmM3MzciLCJ1c2VySWQiOiI0MzQ4NTIyNDMifQ==</vt:lpwstr>
  </property>
</Properties>
</file>