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版本号：HXGJXM2025-ZC-CS108320250807001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网络通讯服务采购项目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HXGJXM2025-ZC-CS1083</w:t>
      </w:r>
      <w:r>
        <w:br/>
      </w:r>
      <w:r>
        <w:br/>
      </w:r>
      <w:r>
        <w:br/>
      </w:r>
    </w:p>
    <w:p>
      <w:pPr>
        <w:pStyle w:val="null3"/>
        <w:jc w:val="center"/>
        <w:outlineLvl w:val="2"/>
      </w:pPr>
      <w:r>
        <w:rPr>
          <w:rFonts w:ascii="仿宋_GB2312" w:hAnsi="仿宋_GB2312" w:cs="仿宋_GB2312" w:eastAsia="仿宋_GB2312"/>
          <w:sz w:val="28"/>
          <w:b/>
        </w:rPr>
        <w:t>陕西省结核病防治院</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陕西省结核病防治院</w:t>
      </w:r>
      <w:r>
        <w:rPr>
          <w:rFonts w:ascii="仿宋_GB2312" w:hAnsi="仿宋_GB2312" w:cs="仿宋_GB2312" w:eastAsia="仿宋_GB2312"/>
        </w:rPr>
        <w:t>委托，拟对</w:t>
      </w:r>
      <w:r>
        <w:rPr>
          <w:rFonts w:ascii="仿宋_GB2312" w:hAnsi="仿宋_GB2312" w:cs="仿宋_GB2312" w:eastAsia="仿宋_GB2312"/>
        </w:rPr>
        <w:t>网络通讯服务采购项目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网络通讯服务采购项目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因我院网络通讯服务采购项目即将到期，为确保单位网络通讯服务采购项目不受影响，特开展本次医院网络通讯服务采购项目。具体要求详见磋商文件。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书：法定代表人/负责人授权书（附法定代表人/负责人、被授权人身份证复印件）及被授权人身份证（法定代表人/负责人直接参加招标，须提供法定代表人/负责人身份证明）（注：被授权人需提供投标截止日前一年内已缴存的至少一个月的社会保障资金凭证）</w:t>
      </w:r>
    </w:p>
    <w:p>
      <w:pPr>
        <w:pStyle w:val="null3"/>
      </w:pPr>
      <w:r>
        <w:rPr>
          <w:rFonts w:ascii="仿宋_GB2312" w:hAnsi="仿宋_GB2312" w:cs="仿宋_GB2312" w:eastAsia="仿宋_GB2312"/>
        </w:rPr>
        <w:t>2、单位资质：供应商必须依据《中华人民共和国电信条例》的规定取得国务院信息产业主管部门或者省、自治区、直辖市电信管理机构颁发的电信业务经营许可证，取得《基础电信业务经营许可证》</w:t>
      </w:r>
    </w:p>
    <w:p>
      <w:pPr>
        <w:pStyle w:val="null3"/>
      </w:pPr>
      <w:r>
        <w:rPr>
          <w:rFonts w:ascii="仿宋_GB2312" w:hAnsi="仿宋_GB2312" w:cs="仿宋_GB2312" w:eastAsia="仿宋_GB2312"/>
        </w:rPr>
        <w:t>3、信用信息：供应商未被“信用中国”网站（www.creditchina.gov.cn）列入失信被执行人和重大税收违法失信主体，未被中国政府采购网（www.ccgp.gov.cn）列入政府采购严重违法失信行为记录名单；（采购代理机构于本项目招标公告发布后至投标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4、磋商保证金：磋商保证金缴纳凭证或担保机构出具的保函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陕西省结核病防治院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陕西省西安市长安区太乙宫镇上湾村甲字1号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029-85899294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丁杰、王强、康敏茹、张艳萍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开户名称：华夏国际项目管理（西安）有限公司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 成交单位在领取成交通知书前，须向采购代理机构一次性支付招标代理服务费。 招标代理服务费账户： 户名：华夏国际项目管理（西安）有限公司 开户行：工行西安城南科技支行 账号：3700024819200130193 请成交供应商按照要求将招 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陕西省结核病防治院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陕西省结核病防治院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陕西省结核病防治院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联系人：丁杰、王强、康敏茹、张艳萍</w:t>
      </w:r>
    </w:p>
    <w:p>
      <w:pPr>
        <w:pStyle w:val="null3"/>
      </w:pPr>
      <w:r>
        <w:rPr>
          <w:rFonts w:ascii="仿宋_GB2312" w:hAnsi="仿宋_GB2312" w:cs="仿宋_GB2312" w:eastAsia="仿宋_GB2312"/>
        </w:rPr>
        <w:t>联系电话：029-88899970-862</w:t>
      </w:r>
    </w:p>
    <w:p>
      <w:pPr>
        <w:pStyle w:val="null3"/>
      </w:pPr>
      <w:r>
        <w:rPr>
          <w:rFonts w:ascii="仿宋_GB2312" w:hAnsi="仿宋_GB2312" w:cs="仿宋_GB2312" w:eastAsia="仿宋_GB2312"/>
        </w:rPr>
        <w:t>地址：陕西省西安市莲湖区二环南路西段202号九座花园16楼1605</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因我院网络通讯服务采购项目即将到期，为确保单位网络通讯服务采购项目不受影响，特开展本次医院网络通讯服务采购项目项目采购。具体要求详见磋商文件。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430,000.00</w:t>
      </w:r>
    </w:p>
    <w:p>
      <w:pPr>
        <w:pStyle w:val="null3"/>
      </w:pPr>
      <w:r>
        <w:rPr>
          <w:rFonts w:ascii="仿宋_GB2312" w:hAnsi="仿宋_GB2312" w:cs="仿宋_GB2312" w:eastAsia="仿宋_GB2312"/>
        </w:rPr>
        <w:t>采购包最高限价（元）: 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网络通讯服务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标的名称：网络通讯服务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1、采购内容</w:t>
            </w:r>
          </w:p>
          <w:p>
            <w:pPr>
              <w:pStyle w:val="null3"/>
              <w:jc w:val="both"/>
            </w:pPr>
            <w:r>
              <w:rPr>
                <w:rFonts w:ascii="仿宋_GB2312" w:hAnsi="仿宋_GB2312" w:cs="仿宋_GB2312" w:eastAsia="仿宋_GB2312"/>
                <w:sz w:val="21"/>
              </w:rPr>
              <w:t>1.1网络专线</w:t>
            </w:r>
          </w:p>
          <w:p>
            <w:pPr>
              <w:pStyle w:val="null3"/>
              <w:jc w:val="both"/>
            </w:pPr>
            <w:r>
              <w:rPr>
                <w:rFonts w:ascii="仿宋_GB2312" w:hAnsi="仿宋_GB2312" w:cs="仿宋_GB2312" w:eastAsia="仿宋_GB2312"/>
                <w:sz w:val="21"/>
              </w:rPr>
              <w:t>500M专线1条，用于全院WIFI服务；50M专线1条，用于门诊移动支付业务。</w:t>
            </w:r>
          </w:p>
          <w:p>
            <w:pPr>
              <w:pStyle w:val="null3"/>
              <w:jc w:val="both"/>
            </w:pPr>
            <w:r>
              <w:rPr>
                <w:rFonts w:ascii="仿宋_GB2312" w:hAnsi="仿宋_GB2312" w:cs="仿宋_GB2312" w:eastAsia="仿宋_GB2312"/>
                <w:sz w:val="21"/>
              </w:rPr>
              <w:t>1.2 固话业务</w:t>
            </w:r>
          </w:p>
          <w:p>
            <w:pPr>
              <w:pStyle w:val="null3"/>
              <w:jc w:val="both"/>
            </w:pPr>
            <w:r>
              <w:rPr>
                <w:rFonts w:ascii="仿宋_GB2312" w:hAnsi="仿宋_GB2312" w:cs="仿宋_GB2312" w:eastAsia="仿宋_GB2312"/>
                <w:sz w:val="21"/>
              </w:rPr>
              <w:t>实现我院近200部固话互打免费，固话可随时进行呼叫转移设置及取消。</w:t>
            </w:r>
          </w:p>
          <w:p>
            <w:pPr>
              <w:pStyle w:val="null3"/>
              <w:jc w:val="both"/>
            </w:pPr>
            <w:r>
              <w:rPr>
                <w:rFonts w:ascii="仿宋_GB2312" w:hAnsi="仿宋_GB2312" w:cs="仿宋_GB2312" w:eastAsia="仿宋_GB2312"/>
                <w:sz w:val="21"/>
              </w:rPr>
              <w:t>1.3 网络电视</w:t>
            </w:r>
          </w:p>
          <w:p>
            <w:pPr>
              <w:pStyle w:val="null3"/>
              <w:jc w:val="both"/>
            </w:pPr>
            <w:r>
              <w:rPr>
                <w:rFonts w:ascii="仿宋_GB2312" w:hAnsi="仿宋_GB2312" w:cs="仿宋_GB2312" w:eastAsia="仿宋_GB2312"/>
                <w:sz w:val="21"/>
              </w:rPr>
              <w:t>实现近300个病房和零散点位的IPTV覆盖，其中IPTV要求有定制化界面，接入WIFI需要经过认证。</w:t>
            </w:r>
          </w:p>
          <w:p>
            <w:pPr>
              <w:pStyle w:val="null3"/>
              <w:jc w:val="both"/>
            </w:pPr>
            <w:r>
              <w:rPr>
                <w:rFonts w:ascii="仿宋_GB2312" w:hAnsi="仿宋_GB2312" w:cs="仿宋_GB2312" w:eastAsia="仿宋_GB2312"/>
                <w:sz w:val="21"/>
              </w:rPr>
              <w:t>1.4 WIFI覆盖</w:t>
            </w:r>
          </w:p>
          <w:p>
            <w:pPr>
              <w:pStyle w:val="null3"/>
              <w:jc w:val="both"/>
            </w:pPr>
            <w:r>
              <w:rPr>
                <w:rFonts w:ascii="仿宋_GB2312" w:hAnsi="仿宋_GB2312" w:cs="仿宋_GB2312" w:eastAsia="仿宋_GB2312"/>
                <w:sz w:val="21"/>
              </w:rPr>
              <w:t>对院区的信号点进行合理布设，实现院区WIFI全覆盖。</w:t>
            </w:r>
          </w:p>
          <w:p>
            <w:pPr>
              <w:pStyle w:val="null3"/>
              <w:jc w:val="both"/>
            </w:pPr>
            <w:r>
              <w:rPr>
                <w:rFonts w:ascii="仿宋_GB2312" w:hAnsi="仿宋_GB2312" w:cs="仿宋_GB2312" w:eastAsia="仿宋_GB2312"/>
                <w:sz w:val="21"/>
              </w:rPr>
              <w:t>2、技术要求</w:t>
            </w:r>
          </w:p>
          <w:p>
            <w:pPr>
              <w:pStyle w:val="null3"/>
              <w:jc w:val="both"/>
            </w:pPr>
            <w:r>
              <w:rPr>
                <w:rFonts w:ascii="仿宋_GB2312" w:hAnsi="仿宋_GB2312" w:cs="仿宋_GB2312" w:eastAsia="仿宋_GB2312"/>
                <w:sz w:val="21"/>
              </w:rPr>
              <w:t>2.1服务商需提供出口链路需支持光/电100M；1000M光口GE等灵活接口类型，带宽可平滑升速，最高可支持扩展至万兆口；</w:t>
            </w:r>
          </w:p>
          <w:p>
            <w:pPr>
              <w:pStyle w:val="null3"/>
              <w:jc w:val="both"/>
            </w:pPr>
            <w:r>
              <w:rPr>
                <w:rFonts w:ascii="仿宋_GB2312" w:hAnsi="仿宋_GB2312" w:cs="仿宋_GB2312" w:eastAsia="仿宋_GB2312"/>
                <w:sz w:val="21"/>
              </w:rPr>
              <w:t>2.2服务商所提供的出口物理光路总衰减不超过20db；</w:t>
            </w:r>
          </w:p>
          <w:p>
            <w:pPr>
              <w:pStyle w:val="null3"/>
              <w:jc w:val="both"/>
            </w:pPr>
            <w:r>
              <w:rPr>
                <w:rFonts w:ascii="仿宋_GB2312" w:hAnsi="仿宋_GB2312" w:cs="仿宋_GB2312" w:eastAsia="仿宋_GB2312"/>
                <w:sz w:val="21"/>
              </w:rPr>
              <w:t>2.3服务商所提供的光缆为单模光缆1.31μM的损耗不超过0.4db/KM，1.55μM的损耗不超过0.3db/KM；</w:t>
            </w:r>
          </w:p>
          <w:p>
            <w:pPr>
              <w:pStyle w:val="null3"/>
              <w:jc w:val="both"/>
            </w:pPr>
            <w:r>
              <w:rPr>
                <w:rFonts w:ascii="仿宋_GB2312" w:hAnsi="仿宋_GB2312" w:cs="仿宋_GB2312" w:eastAsia="仿宋_GB2312"/>
                <w:sz w:val="21"/>
              </w:rPr>
              <w:t>2.4服务商提供的互联网出口第三方软件实测速率≥接口理论速率*90%；上行速率≥下行速率×99%；</w:t>
            </w:r>
          </w:p>
          <w:p>
            <w:pPr>
              <w:pStyle w:val="null3"/>
              <w:jc w:val="both"/>
            </w:pPr>
            <w:r>
              <w:rPr>
                <w:rFonts w:ascii="仿宋_GB2312" w:hAnsi="仿宋_GB2312" w:cs="仿宋_GB2312" w:eastAsia="仿宋_GB2312"/>
                <w:sz w:val="21"/>
              </w:rPr>
              <w:t>2.5为保障我院内网络信息安全，提升网络防护能力，服务商应具备网络安全防护的服务能力，包括：DDOS攻击防护、网站安全监测防护、域名防护等；</w:t>
            </w:r>
          </w:p>
          <w:p>
            <w:pPr>
              <w:pStyle w:val="null3"/>
              <w:jc w:val="both"/>
            </w:pPr>
            <w:r>
              <w:rPr>
                <w:rFonts w:ascii="仿宋_GB2312" w:hAnsi="仿宋_GB2312" w:cs="仿宋_GB2312" w:eastAsia="仿宋_GB2312"/>
                <w:sz w:val="21"/>
              </w:rPr>
              <w:t>2.6网络带宽独立性必须采用独享带宽接入（承诺M数可达），企业独享VIP网络通道，网速不受宽带使用高峰期的影响，网速稳定优质。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21"/>
              </w:rPr>
              <w:t>1、提供7×24 小时热线服务，提供故障一点受理与升级处理机制；故障响应时间不超过 30 分钟，硬件或线路等故障需要现场处理时，2小时内须到达现场，一般故障修复时间不超过 4 小时，重大故障修复时间不超过 24 小时；</w:t>
            </w:r>
          </w:p>
          <w:p>
            <w:pPr>
              <w:pStyle w:val="null3"/>
              <w:jc w:val="both"/>
            </w:pPr>
            <w:r>
              <w:rPr>
                <w:rFonts w:ascii="仿宋_GB2312" w:hAnsi="仿宋_GB2312" w:cs="仿宋_GB2312" w:eastAsia="仿宋_GB2312"/>
                <w:sz w:val="21"/>
              </w:rPr>
              <w:t>2、定期进行网络巡检，每月至少 1 次，及时发现和处理潜在问题，提供网络运行分析报告，分析网络运行情况；</w:t>
            </w:r>
          </w:p>
          <w:p>
            <w:pPr>
              <w:pStyle w:val="null3"/>
              <w:jc w:val="both"/>
            </w:pPr>
            <w:r>
              <w:rPr>
                <w:rFonts w:ascii="仿宋_GB2312" w:hAnsi="仿宋_GB2312" w:cs="仿宋_GB2312" w:eastAsia="仿宋_GB2312"/>
                <w:sz w:val="21"/>
              </w:rPr>
              <w:t>3、每季度对网络性能进行评估和优化，确保网络运行效率和稳定性；</w:t>
            </w:r>
          </w:p>
          <w:p>
            <w:pPr>
              <w:pStyle w:val="null3"/>
              <w:jc w:val="both"/>
            </w:pPr>
            <w:r>
              <w:rPr>
                <w:rFonts w:ascii="仿宋_GB2312" w:hAnsi="仿宋_GB2312" w:cs="仿宋_GB2312" w:eastAsia="仿宋_GB2312"/>
                <w:sz w:val="21"/>
              </w:rPr>
              <w:t>4、提供维护工程师专项服务；</w:t>
            </w:r>
          </w:p>
          <w:p>
            <w:pPr>
              <w:pStyle w:val="null3"/>
              <w:jc w:val="both"/>
            </w:pPr>
            <w:r>
              <w:rPr>
                <w:rFonts w:ascii="仿宋_GB2312" w:hAnsi="仿宋_GB2312" w:cs="仿宋_GB2312" w:eastAsia="仿宋_GB2312"/>
                <w:sz w:val="21"/>
              </w:rPr>
              <w:t>5、在业务开通、障碍处理过程中及时做好沟通和反馈；</w:t>
            </w:r>
          </w:p>
          <w:p>
            <w:pPr>
              <w:pStyle w:val="null3"/>
              <w:jc w:val="both"/>
            </w:pPr>
            <w:r>
              <w:rPr>
                <w:rFonts w:ascii="仿宋_GB2312" w:hAnsi="仿宋_GB2312" w:cs="仿宋_GB2312" w:eastAsia="仿宋_GB2312"/>
                <w:sz w:val="21"/>
              </w:rPr>
              <w:t>6、对中断超过1小时的服务方原因故障，提供故障处理报告；</w:t>
            </w:r>
          </w:p>
          <w:p>
            <w:pPr>
              <w:pStyle w:val="null3"/>
              <w:jc w:val="both"/>
            </w:pPr>
            <w:r>
              <w:rPr>
                <w:rFonts w:ascii="仿宋_GB2312" w:hAnsi="仿宋_GB2312" w:cs="仿宋_GB2312" w:eastAsia="仿宋_GB2312"/>
                <w:sz w:val="21"/>
              </w:rPr>
              <w:t>7、提供联席会议服务，1次/年（客户选择时间）；</w:t>
            </w:r>
          </w:p>
          <w:p>
            <w:pPr>
              <w:pStyle w:val="null3"/>
              <w:jc w:val="both"/>
            </w:pPr>
            <w:r>
              <w:rPr>
                <w:rFonts w:ascii="仿宋_GB2312" w:hAnsi="仿宋_GB2312" w:cs="仿宋_GB2312" w:eastAsia="仿宋_GB2312"/>
                <w:sz w:val="21"/>
              </w:rPr>
              <w:t>8、根据我院相关科室需求提供技术业务培训及研讨交流；</w:t>
            </w:r>
          </w:p>
          <w:p>
            <w:pPr>
              <w:pStyle w:val="null3"/>
              <w:jc w:val="both"/>
            </w:pPr>
            <w:r>
              <w:rPr>
                <w:rFonts w:ascii="仿宋_GB2312" w:hAnsi="仿宋_GB2312" w:cs="仿宋_GB2312" w:eastAsia="仿宋_GB2312"/>
                <w:sz w:val="21"/>
              </w:rPr>
              <w:t>9、每年为医院工作人员提供至少2次培训，包括网络设备操作、安全防护知识、应急处理等内容，培训方式包括现场培训和线上培训。</w:t>
            </w:r>
          </w:p>
          <w:p>
            <w:pPr>
              <w:pStyle w:val="null3"/>
              <w:jc w:val="both"/>
            </w:pPr>
            <w:r>
              <w:rPr>
                <w:rFonts w:ascii="仿宋_GB2312" w:hAnsi="仿宋_GB2312" w:cs="仿宋_GB2312" w:eastAsia="仿宋_GB2312"/>
                <w:sz w:val="21"/>
              </w:rPr>
              <w:t>10、需保障全院用户的WiFi使用效果，具体包括但不限于：全院覆盖区域内WiFi信号稳定、强度达标，支持多客户端同时接入且无明显卡顿、延迟；网络速率满足日常办公、业务开展等基本需求，关键区域（如办公区、公共</w:t>
            </w:r>
            <w:r>
              <w:rPr>
                <w:rFonts w:ascii="仿宋_GB2312" w:hAnsi="仿宋_GB2312" w:cs="仿宋_GB2312" w:eastAsia="仿宋_GB2312"/>
                <w:sz w:val="21"/>
              </w:rPr>
              <w:t>活动区等）需保障高可用性和流畅性。</w:t>
            </w:r>
          </w:p>
          <w:p>
            <w:pPr>
              <w:pStyle w:val="null3"/>
              <w:jc w:val="both"/>
            </w:pPr>
            <w:r>
              <w:rPr>
                <w:rFonts w:ascii="仿宋_GB2312" w:hAnsi="仿宋_GB2312" w:cs="仿宋_GB2312" w:eastAsia="仿宋_GB2312"/>
                <w:sz w:val="21"/>
              </w:rPr>
              <w:t>11、我院现有IP点位网络速率基本满足要求，但已有3年未做系统性维护，请结合自身优势，提供后期优化方案以供参考。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维保团队至少包括客户经理1名，负责专职与医院对接，受理业务、沟通需求及故障维修；技术维护人员2名，需熟练处理故障，具有网络、通讯相关资格证书，提供7×24小时电话免费技术支持服务。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付款条件说明： 采用先使用、后付费的方式，按月进行结算，当月费用次月结算。</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本项目服务期限为3 年，合同一年一签，经考核合格，可进行续签。续签时间自合同签订之日起计算。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2.本合同及附件文本。 3.合同签订时国家及行业现行的标准和技术规范。 4.中标服务商应向采购人提交项目实施过程中的所有资料，以便采购人日后管理和维护。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采用先使用、后付费的方式，按月进行结算，当月费用次月结算。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采用先使用、后付费的方式，按月进行结算，当月费用次月结算。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采用先使用、后付费的方式，按月进行结算，当月费用次月结算。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采用先使用、后付费的方式，按月进行结算，当月费用次月结算。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采用先使用、后付费的方式，按月进行结算，当月费用次月结算。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采用先使用、后付费的方式，按月进行结算，当月费用次月结算。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采用先使用、后付费的方式，按月进行结算，当月费用次月结算。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采用先使用、后付费的方式，按月进行结算，当月费用次月结算。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采用先使用、后付费的方式，按月进行结算，当月费用次月结算。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采用先使用、后付费的方式，按月进行结算，当月费用次月结算。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采用先使用、后付费的方式，按月进行结算，当月费用次月结算。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采用先使用、后付费的方式，按月进行结算，当月费用次月结算。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①违约责任：（一）按《民法典》中的相关条款执行。（二）未按合同要求提供服务或服务质量不能满足本次招标要求，甲方会同监督机构、采购代理机构有权终止合同和对乙方违约行为进行追究，同时按政府采购法的有关规定进行相应的处罚。②解决争议的方法：本合同在履行过程中发生的争议，由甲、乙双方当事人协商解决，协商不成的按下列第（二）种方式解决：（一）提交当地仲裁委员会仲裁；（二）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付款条件说明： 采用先使用、后付费的方式，按月进行结算，当月费用次月结算。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 供应商是法人或其他组织的应提供营业执照等证明文件，供应商是自然人的应提供有效的自然人身份证明。(2)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提供磋商截止日前一年内任意一个月的依法缴纳税收的完税证明，完税证明应有税务机关或代收机关的公章或业务专用章。依法免税或无须缴纳税收的供应商，应提供相应证明文件；(5)提供投标截止日前一年内已缴存的至少一个月的社会保障资金缴存单据或社保机构开具的社会保险参保缴费情况证明，依法不需要缴纳社会保障资金的单位应提供相关证明材料；(6)参加政府采购活动前3年内，在经营活动中没有重大违法记录的书面声明。 供应商需在项目电子化交易系统中按要求填写或上传相应证明文件并进行电子签章。</w:t>
            </w:r>
          </w:p>
        </w:tc>
        <w:tc>
          <w:tcPr>
            <w:tcW w:type="dxa" w:w="1661"/>
          </w:tcPr>
          <w:p>
            <w:pPr>
              <w:pStyle w:val="null3"/>
            </w:pPr>
            <w:r>
              <w:rPr>
                <w:rFonts w:ascii="仿宋_GB2312" w:hAnsi="仿宋_GB2312" w:cs="仿宋_GB2312" w:eastAsia="仿宋_GB2312"/>
              </w:rPr>
              <w:t>供应商资格要求.docx 供应商认为需要补充的内容.docx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供应商认为需要补充的内容.docx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供应商认为需要补充的内容.docx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授权书（附法定代表人/负责人、被授权人身份证复印件）及被授权人身份证（法定代表人/负责人直接参加招标，须提供法定代表人/负责人身份证明）（注：被授权人需提供投标截止日前一年内已缴存的至少一个月的社会保障资金凭证）</w:t>
            </w:r>
          </w:p>
        </w:tc>
        <w:tc>
          <w:tcPr>
            <w:tcW w:type="dxa" w:w="1661"/>
          </w:tcPr>
          <w:p>
            <w:pPr>
              <w:pStyle w:val="null3"/>
            </w:pPr>
            <w:r>
              <w:rPr>
                <w:rFonts w:ascii="仿宋_GB2312" w:hAnsi="仿宋_GB2312" w:cs="仿宋_GB2312" w:eastAsia="仿宋_GB2312"/>
              </w:rPr>
              <w:t>供应商资格要求.docx 供应商认为需要补充的内容.docx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单位资质</w:t>
            </w:r>
          </w:p>
        </w:tc>
        <w:tc>
          <w:tcPr>
            <w:tcW w:type="dxa" w:w="3322"/>
          </w:tcPr>
          <w:p>
            <w:pPr>
              <w:pStyle w:val="null3"/>
            </w:pPr>
            <w:r>
              <w:rPr>
                <w:rFonts w:ascii="仿宋_GB2312" w:hAnsi="仿宋_GB2312" w:cs="仿宋_GB2312" w:eastAsia="仿宋_GB2312"/>
              </w:rPr>
              <w:t>供应商必须依据《中华人民共和国电信条例》的规定取得国务院信息产业主管部门或者省、自治区、直辖市电信管理机构颁发的电信业务经营许可证，取得《基础电信业务经营许可证》</w:t>
            </w:r>
          </w:p>
        </w:tc>
        <w:tc>
          <w:tcPr>
            <w:tcW w:type="dxa" w:w="1661"/>
          </w:tcPr>
          <w:p>
            <w:pPr>
              <w:pStyle w:val="null3"/>
            </w:pPr>
            <w:r>
              <w:rPr>
                <w:rFonts w:ascii="仿宋_GB2312" w:hAnsi="仿宋_GB2312" w:cs="仿宋_GB2312" w:eastAsia="仿宋_GB2312"/>
              </w:rPr>
              <w:t>供应商资格要求.docx 供应商认为需要补充的内容.docx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采购代理机构于本项目招标公告发布后至投标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供应商资格要求.docx 供应商认为需要补充的内容.docx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磋商保证金缴纳凭证或担保机构出具的保函</w:t>
            </w:r>
          </w:p>
        </w:tc>
        <w:tc>
          <w:tcPr>
            <w:tcW w:type="dxa" w:w="1661"/>
          </w:tcPr>
          <w:p>
            <w:pPr>
              <w:pStyle w:val="null3"/>
            </w:pPr>
            <w:r>
              <w:rPr>
                <w:rFonts w:ascii="仿宋_GB2312" w:hAnsi="仿宋_GB2312" w:cs="仿宋_GB2312" w:eastAsia="仿宋_GB2312"/>
              </w:rPr>
              <w:t>供应商资格要求.docx 供应商认为需要补充的内容.docx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供应商类似项目业绩一览表.docx 中小企业声明函 报价表 供应商承诺书.docx 响应文件封面 供应商资格要求.docx 残疾人福利性单位声明函 供应商认为需要补充的内容.docx 标的清单 项目管理机构组成表.docx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供应商类似项目业绩一览表.docx 中小企业声明函 供应商承诺书.docx 响应文件封面 供应商资格要求.docx 残疾人福利性单位声明函 供应商认为需要补充的内容.docx 标的清单 项目管理机构组成表.docx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供应商类似项目业绩一览表.docx 中小企业声明函 供应商承诺书.docx 响应文件封面 供应商资格要求.docx 残疾人福利性单位声明函 供应商认为需要补充的内容.docx 标的清单 项目管理机构组成表.docx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供应商类似项目业绩一览表.docx 中小企业声明函 供应商承诺书.docx 响应文件封面 供应商资格要求.docx 残疾人福利性单位声明函 供应商认为需要补充的内容.docx 标的清单 项目管理机构组成表.docx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供应商类似项目业绩一览表.docx 中小企业声明函 供应商承诺书.docx 响应文件封面 供应商资格要求.docx 残疾人福利性单位声明函 供应商认为需要补充的内容.docx 标的清单 项目管理机构组成表.docx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标的清单 响应函 商务、服务内容偏离表、技术响应偏差表.docx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标的清单 商务、服务内容偏离表、技术响应偏差表.docx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供应商类似项目业绩一览表.docx 中小企业声明函 供应商承诺书.docx 响应文件封面 供应商资格要求.docx 残疾人福利性单位声明函 供应商认为需要补充的内容.docx 标的清单 项目管理机构组成表.docx 响应函 商务、服务内容偏离表、技术响应偏差表.docx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包括但不限于供应商对本项目背景和现状、需求的充分了解;服务内容和需求的理解和把握： A、涵盖上述所有内容项且对项目的服务内容和需求理解深入透彻，能够准确把握项目的目标，非常熟悉项目实施区域情况，得14分； B、涵盖上述所有内容项且对项目的服务内容和需求理解比较透彻，能够较准确把握项目的目标，比较熟悉项目实施区域情况，得10分； C、涵盖上述所有内容项且对项目的服务内容和需求理解基本正确，基本把握项目的目标，不太熟悉项目实施区域情况，得6分； D、涵盖上述所有内容项但对项目的服务内容和需求理解不够，对项目的目标把握不足，不熟悉项目实施区域情况，得2分； E、未提供得0分。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商务、服务内容偏离表、技术响应偏差表.docx</w:t>
            </w:r>
          </w:p>
          <w:p>
            <w:pPr>
              <w:pStyle w:val="null3"/>
            </w:pPr>
            <w:r>
              <w:rPr>
                <w:rFonts w:ascii="仿宋_GB2312" w:hAnsi="仿宋_GB2312" w:cs="仿宋_GB2312" w:eastAsia="仿宋_GB2312"/>
              </w:rPr>
              <w:t>供应商认为需要补充的内容.docx</w:t>
            </w:r>
          </w:p>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供应商资格要求.docx</w:t>
            </w:r>
          </w:p>
        </w:tc>
      </w:tr>
      <w:tr>
        <w:tc>
          <w:tcPr>
            <w:tcW w:type="dxa" w:w="831"/>
            <w:vMerge/>
          </w:tcPr>
          <w:p/>
        </w:tc>
        <w:tc>
          <w:tcPr>
            <w:tcW w:type="dxa" w:w="1661"/>
          </w:tcPr>
          <w:p>
            <w:pPr>
              <w:pStyle w:val="null3"/>
            </w:pPr>
            <w:r>
              <w:rPr>
                <w:rFonts w:ascii="仿宋_GB2312" w:hAnsi="仿宋_GB2312" w:cs="仿宋_GB2312" w:eastAsia="仿宋_GB2312"/>
              </w:rPr>
              <w:t>服务计划</w:t>
            </w:r>
          </w:p>
        </w:tc>
        <w:tc>
          <w:tcPr>
            <w:tcW w:type="dxa" w:w="2492"/>
          </w:tcPr>
          <w:p>
            <w:pPr>
              <w:pStyle w:val="null3"/>
            </w:pPr>
            <w:r>
              <w:rPr>
                <w:rFonts w:ascii="仿宋_GB2312" w:hAnsi="仿宋_GB2312" w:cs="仿宋_GB2312" w:eastAsia="仿宋_GB2312"/>
              </w:rPr>
              <w:t>根据对本项目的认识和理解，提供合理的服务流程及服务计划。 A、流程和计划详细具体，阐述全面的、可操作性强的，得10分； B、流程和计划较详细,阐述一般,可操作性一般的,得7分； C、流程和计划基本全面，具有一定的可操作性，得4分； D、流程和计划内容不明确，可操作性差的，得2分；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供应商认为需要补充的内容.docx</w:t>
            </w:r>
          </w:p>
          <w:p>
            <w:pPr>
              <w:pStyle w:val="null3"/>
            </w:pPr>
            <w:r>
              <w:rPr>
                <w:rFonts w:ascii="仿宋_GB2312" w:hAnsi="仿宋_GB2312" w:cs="仿宋_GB2312" w:eastAsia="仿宋_GB2312"/>
              </w:rPr>
              <w:t>商务、服务内容偏离表、技术响应偏差表.docx</w:t>
            </w:r>
          </w:p>
          <w:p>
            <w:pPr>
              <w:pStyle w:val="null3"/>
            </w:pPr>
            <w:r>
              <w:rPr>
                <w:rFonts w:ascii="仿宋_GB2312" w:hAnsi="仿宋_GB2312" w:cs="仿宋_GB2312" w:eastAsia="仿宋_GB2312"/>
              </w:rPr>
              <w:t>项目管理机构组成表.docx</w:t>
            </w:r>
          </w:p>
        </w:tc>
      </w:tr>
      <w:tr>
        <w:tc>
          <w:tcPr>
            <w:tcW w:type="dxa" w:w="831"/>
            <w:vMerge/>
          </w:tcPr>
          <w:p/>
        </w:tc>
        <w:tc>
          <w:tcPr>
            <w:tcW w:type="dxa" w:w="1661"/>
          </w:tcPr>
          <w:p>
            <w:pPr>
              <w:pStyle w:val="null3"/>
            </w:pPr>
            <w:r>
              <w:rPr>
                <w:rFonts w:ascii="仿宋_GB2312" w:hAnsi="仿宋_GB2312" w:cs="仿宋_GB2312" w:eastAsia="仿宋_GB2312"/>
              </w:rPr>
              <w:t>对于项目实施过程中的重点及难点的应对方案</w:t>
            </w:r>
          </w:p>
        </w:tc>
        <w:tc>
          <w:tcPr>
            <w:tcW w:type="dxa" w:w="2492"/>
          </w:tcPr>
          <w:p>
            <w:pPr>
              <w:pStyle w:val="null3"/>
            </w:pPr>
            <w:r>
              <w:rPr>
                <w:rFonts w:ascii="仿宋_GB2312" w:hAnsi="仿宋_GB2312" w:cs="仿宋_GB2312" w:eastAsia="仿宋_GB2312"/>
              </w:rPr>
              <w:t>对项目需求的重点和难点的分析和提出的应对方案进行评审 A、重难点分析全面透彻，理解准确，解决方法和措施可行性强，得12分； B、重难点分析较全面，解决方法和措施基本合理可行，得8分； C、重难点分析简单但有一定针对性，方法和措施有一定的可行性，得4分； D、分析内容简单笼统，无针对性得2分； E、未提供得0分。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商务、服务内容偏离表、技术响应偏差表.docx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供应商认为需要补充的内容.docx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提供详细的质量目标，并提供具体可行、详细的质量保障措施以及规范工作措施。 A、质量目标详细，保障措施及规范工作措施具体、可行性强，得10分； B、质量目标较详细，保障措施及规范工作措施较具体、可行性较强，得7分； C、质量目标较详细，有一定的保障措施及规范工作措施，得4分； D、质量目标简单，保障措施及规范工作措施简单笼统，无针对性，得2分；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商务、服务内容偏离表、技术响应偏差表.docx</w:t>
            </w:r>
          </w:p>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供应商认为需要补充的内容.docx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提供完善的应急措施，包括但不限于故障响应时间、 应急保障设备支持、有专人负责本项目工作、正式运行后提供7×24小时应急售后服务、如遇故障免费更换或维修等。 A、应急措施优于采购需求且详细具体，阐述全面的、可操作性强的，得10分； B、应急措施满足采购需求且较详细,阐述一般,可操作性一般的,得7分； C、应急措施内容基本明确，具有一定的可操作性，得4分； D、应急措施内容不明确，可操作性差的，2分；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商务、服务内容偏离表、技术响应偏差表.docx</w:t>
            </w:r>
          </w:p>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供应商认为需要补充的内容.docx</w:t>
            </w:r>
          </w:p>
          <w:p>
            <w:pPr>
              <w:pStyle w:val="null3"/>
            </w:pPr>
            <w:r>
              <w:rPr>
                <w:rFonts w:ascii="仿宋_GB2312" w:hAnsi="仿宋_GB2312" w:cs="仿宋_GB2312" w:eastAsia="仿宋_GB2312"/>
              </w:rPr>
              <w:t>供应商承诺书.docx</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针对本项目提供安全措施。 A、安全措施详细具体，阐述全面的、可操作性强的，得8分； B、安全措施较详细,阐述合理,可操作性一般的,得6分。 C、安全措施片面,阐述一般,有一定的可操作性,得4分。 D、安全措施内容不明确，可操作性差的，2分。 E、未提供得0分。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商务、服务内容偏离表、技术响应偏差表.docx</w:t>
            </w:r>
          </w:p>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供应商认为需要补充的内容.docx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服务人员与采购人能有良好工作配合的承诺。 A、承诺内容详尽全面，具体内容合理得当，赋分8分； B、承诺比较全面，具体内容比较合理，赋分6分； C、承诺一般，具体内容合理行不够，赋分4分； D、承诺不充分，具体内容有欠妥当，赋分2分； E、未提供不得分。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商务、服务内容偏离表、技术响应偏差表.docx</w:t>
            </w:r>
          </w:p>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供应商认为需要补充的内容.docx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拟派人员数量应能保证本项目服务工作的顺利开展，要求组织结构设置健全、人员配备合理、职责分工明确。 A、人员数量优于采购需求，组织结构健全、人员配备齐全、职责分工明确，满足项目需求，得8分； B、人员数量满足采购需求，组织结构较健全、人员配备合理、职责分工清晰，基本满足项目需求，得5分； C、组织结构、人员配备、职责分工等整体安排有所欠缺，得3分； D、未提供得0分。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商务、服务内容偏离表、技术响应偏差表.docx</w:t>
            </w:r>
          </w:p>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供应商认为需要补充的内容.docx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供应商具有2022年8月1日至今的类似项目业绩。每提供一项得2分，满分10分。 注：(以提供加盖单位公章的采购中标通知书（以落款时间为准）或合同复印件或扫描件（以合同签订时间为准），否则不得分)。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商务、服务内容偏离表、技术响应偏差表.docx</w:t>
            </w:r>
          </w:p>
          <w:p>
            <w:pPr>
              <w:pStyle w:val="null3"/>
            </w:pPr>
            <w:r>
              <w:rPr>
                <w:rFonts w:ascii="仿宋_GB2312" w:hAnsi="仿宋_GB2312" w:cs="仿宋_GB2312" w:eastAsia="仿宋_GB2312"/>
              </w:rPr>
              <w:t>供应商认为需要补充的内容.docx</w:t>
            </w:r>
          </w:p>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采用低价优先法计算，即满足招标文件要求且投标报价最低的报价为基准价，其价格分为满分。 投标报价得分=（投标基准价／投标报价）×10，当评标委员会认为某个供应商的报价明显低于其他通过资格性审查供应商的报价，有可能影响服务质量和不能诚信履约的，应要求该供应商在评标现场合理的时间内提供书面说明，必要时提交相关证明材料；供应商不能证明其报价合理的，评标委员会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详见附件：供应商认为需要补充的内容.docx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