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版本号：ZX2025-08-1320250902001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信息系统安全等级保护测评及密码应用安全性评估服务项目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ZX2025-08-13</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信息系统安全等级保护测评及密码应用安全性评估服务项目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ZX2025-08-13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信息系统安全等级保护测评及密码应用安全性评估服务项目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信息系统安全等级保护测评及密码应用安全性评估服务项目，共分为2个采购包，采购包1为信息系统安全等级保护测评；采购包2为信息系统密码应用安全性评估服务。具体内容详见采购文件第三章。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3、供应商证书要求：供应商须具备《网络安全等级测评与检测评估机构服务认证证书》。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3、供应商证书要求：供应商须具备国家密码管理局颁发的《商用密码检测机构资质证书》。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张婷 马演 曹婷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采购包1保证金金额：7,813.01元</w:t>
            </w:r>
          </w:p>
          <w:p>
            <w:pPr>
              <w:pStyle w:val="null3"/>
            </w:pPr>
            <w:r>
              <w:rPr>
                <w:rFonts w:ascii="仿宋_GB2312" w:hAnsi="仿宋_GB2312" w:cs="仿宋_GB2312" w:eastAsia="仿宋_GB2312"/>
              </w:rPr>
              <w:t>采购包2保证金金额：7,813.02元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代理服务费收费标准：各采购包参照国家计委计价格[2002]1980号及发改办价格[2003]857号通知规定计取，由供应商支付代理服务费。不足6000按6000元收取。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联系人：马演、张婷</w:t>
      </w:r>
    </w:p>
    <w:p>
      <w:pPr>
        <w:pStyle w:val="null3"/>
      </w:pPr>
      <w:r>
        <w:rPr>
          <w:rFonts w:ascii="仿宋_GB2312" w:hAnsi="仿宋_GB2312" w:cs="仿宋_GB2312" w:eastAsia="仿宋_GB2312"/>
        </w:rPr>
        <w:t>联系电话：029-88110800转8025（493059132@qq.com）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信息系统安全等级保护测评及密码应用安全性评估服务项目，共分为2个采购包，采购包1为信息系统安全等级保护测评；采购包2为信息系统密码应用安全性评估服务。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陕西省市场监督管理局信息系统安全等级保护测评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陕西省市场监督管理局信息系统密码应用安全性评估服务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标的名称：陕西省市场监督管理局信息系统安全等级保护测评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shd w:fill="FFFFFF" w:val="clear"/>
              </w:rPr>
              <w:t>1</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项目背景</w:t>
            </w:r>
          </w:p>
          <w:p>
            <w:pPr>
              <w:pStyle w:val="null3"/>
              <w:jc w:val="both"/>
            </w:pPr>
            <w:r>
              <w:rPr>
                <w:rFonts w:ascii="仿宋_GB2312" w:hAnsi="仿宋_GB2312" w:cs="仿宋_GB2312" w:eastAsia="仿宋_GB2312"/>
                <w:sz w:val="21"/>
                <w:color w:val="000000"/>
              </w:rPr>
              <w:t>为贯彻落实国家信息安全等级保护制度的相关规定，根据信息系统安全等级保护基本要求等技术标准和规范，提高信息系统安全防护水平，落实信息安全等级保护工作，加强信息系统的信息安全管</w:t>
            </w:r>
            <w:r>
              <w:rPr>
                <w:rFonts w:ascii="仿宋_GB2312" w:hAnsi="仿宋_GB2312" w:cs="仿宋_GB2312" w:eastAsia="仿宋_GB2312"/>
                <w:sz w:val="21"/>
              </w:rPr>
              <w:t>理，防范黑客及恶意代码等对信息系统的攻击及侵害，保障信息系统的安全稳定运行，</w:t>
            </w:r>
            <w:r>
              <w:rPr>
                <w:rFonts w:ascii="仿宋_GB2312" w:hAnsi="仿宋_GB2312" w:cs="仿宋_GB2312" w:eastAsia="仿宋_GB2312"/>
                <w:sz w:val="21"/>
              </w:rPr>
              <w:t>陕西省市场监督管理局</w:t>
            </w:r>
            <w:r>
              <w:rPr>
                <w:rFonts w:ascii="仿宋_GB2312" w:hAnsi="仿宋_GB2312" w:cs="仿宋_GB2312" w:eastAsia="仿宋_GB2312"/>
                <w:sz w:val="21"/>
              </w:rPr>
              <w:t>组织开展信息系统等级保护测评项目工作。</w:t>
            </w:r>
          </w:p>
          <w:p>
            <w:pPr>
              <w:pStyle w:val="null3"/>
              <w:jc w:val="both"/>
            </w:pP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项目内容</w:t>
            </w:r>
          </w:p>
          <w:p>
            <w:pPr>
              <w:pStyle w:val="null3"/>
              <w:jc w:val="both"/>
            </w:pPr>
            <w:r>
              <w:rPr>
                <w:rFonts w:ascii="仿宋_GB2312" w:hAnsi="仿宋_GB2312" w:cs="仿宋_GB2312" w:eastAsia="仿宋_GB2312"/>
                <w:sz w:val="21"/>
                <w:shd w:fill="FFFFFF" w:val="clear"/>
              </w:rPr>
              <w:t>为保障陕西省市场监督管理局的重要网络安全运行，落实《中华人民共和国网络安全法》《信息安全等级保护管理办法》等国家法律法规要求，结合</w:t>
            </w:r>
            <w:r>
              <w:rPr>
                <w:rFonts w:ascii="仿宋_GB2312" w:hAnsi="仿宋_GB2312" w:cs="仿宋_GB2312" w:eastAsia="仿宋_GB2312"/>
                <w:sz w:val="21"/>
                <w:shd w:fill="FFFFFF" w:val="clear"/>
              </w:rPr>
              <w:t>采购人</w:t>
            </w:r>
            <w:r>
              <w:rPr>
                <w:rFonts w:ascii="仿宋_GB2312" w:hAnsi="仿宋_GB2312" w:cs="仿宋_GB2312" w:eastAsia="仿宋_GB2312"/>
                <w:sz w:val="21"/>
                <w:shd w:fill="FFFFFF" w:val="clear"/>
              </w:rPr>
              <w:t>的实际情况，对</w:t>
            </w:r>
            <w:r>
              <w:rPr>
                <w:rFonts w:ascii="仿宋_GB2312" w:hAnsi="仿宋_GB2312" w:cs="仿宋_GB2312" w:eastAsia="仿宋_GB2312"/>
                <w:sz w:val="21"/>
                <w:shd w:fill="FFFFFF" w:val="clear"/>
              </w:rPr>
              <w:t>如下系统</w:t>
            </w:r>
            <w:r>
              <w:rPr>
                <w:rFonts w:ascii="仿宋_GB2312" w:hAnsi="仿宋_GB2312" w:cs="仿宋_GB2312" w:eastAsia="仿宋_GB2312"/>
                <w:sz w:val="21"/>
                <w:shd w:fill="FFFFFF" w:val="clear"/>
              </w:rPr>
              <w:t>开展等级保护测评服务工作。</w:t>
            </w:r>
          </w:p>
          <w:tbl>
            <w:tblPr>
              <w:tblInd w:type="dxa" w:w="120"/>
              <w:tblBorders>
                <w:top w:val="none" w:color="000000" w:sz="4"/>
                <w:left w:val="none" w:color="000000" w:sz="4"/>
                <w:bottom w:val="none" w:color="000000" w:sz="4"/>
                <w:right w:val="none" w:color="000000" w:sz="4"/>
                <w:insideH w:val="none"/>
                <w:insideV w:val="none"/>
              </w:tblBorders>
            </w:tblPr>
            <w:tblGrid>
              <w:gridCol w:w="195"/>
              <w:gridCol w:w="1627"/>
              <w:gridCol w:w="730"/>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测评系统名称</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定级情况</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暂定</w:t>
                  </w:r>
                  <w:r>
                    <w:rPr>
                      <w:rFonts w:ascii="仿宋_GB2312" w:hAnsi="仿宋_GB2312" w:cs="仿宋_GB2312" w:eastAsia="仿宋_GB2312"/>
                      <w:sz w:val="21"/>
                    </w:rPr>
                    <w:t>）</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陕西省特种设备智慧监管平台</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数智市监大数据支撑体系建设项目</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计量业务综合管理信息平台</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陕西省小个专党建综合服务管理平台</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陕西省市场监督管理局智慧云中心（统一门户）</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食品安全抽样检验数据统计分析系统陕西二级站</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7</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w:t>
                  </w:r>
                  <w:r>
                    <w:rPr>
                      <w:rFonts w:ascii="仿宋_GB2312" w:hAnsi="仿宋_GB2312" w:cs="仿宋_GB2312" w:eastAsia="仿宋_GB2312"/>
                      <w:sz w:val="21"/>
                    </w:rPr>
                    <w:t>12315平台（陕西受理端）</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8</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市场监管行政执法办案系统</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二级</w:t>
                  </w: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备注：定级情况以公安部门最终备案为准</w:t>
                  </w:r>
                </w:p>
              </w:tc>
            </w:tr>
          </w:tbl>
          <w:p>
            <w:pPr>
              <w:pStyle w:val="null3"/>
              <w:jc w:val="both"/>
            </w:pPr>
            <w:r>
              <w:rPr>
                <w:rFonts w:ascii="仿宋_GB2312" w:hAnsi="仿宋_GB2312" w:cs="仿宋_GB2312" w:eastAsia="仿宋_GB2312"/>
                <w:sz w:val="21"/>
                <w:b/>
                <w:shd w:fill="FFFFFF" w:val="clear"/>
              </w:rPr>
              <w:t>3</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服务依据及要求</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.1</w:t>
            </w:r>
            <w:r>
              <w:rPr>
                <w:rFonts w:ascii="仿宋_GB2312" w:hAnsi="仿宋_GB2312" w:cs="仿宋_GB2312" w:eastAsia="仿宋_GB2312"/>
                <w:sz w:val="21"/>
                <w:b/>
              </w:rPr>
              <w:t>测评依据</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政策法规文件：</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《中华人民共和国计算机信息系统安全保护条例》（国务院</w:t>
            </w:r>
            <w:r>
              <w:rPr>
                <w:rFonts w:ascii="仿宋_GB2312" w:hAnsi="仿宋_GB2312" w:cs="仿宋_GB2312" w:eastAsia="仿宋_GB2312"/>
                <w:sz w:val="21"/>
              </w:rPr>
              <w:t>147号令）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《中华人民共和国网络安全法》</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《关于信息安全等级保护工作的实施意见》（公通字【</w:t>
            </w:r>
            <w:r>
              <w:rPr>
                <w:rFonts w:ascii="仿宋_GB2312" w:hAnsi="仿宋_GB2312" w:cs="仿宋_GB2312" w:eastAsia="仿宋_GB2312"/>
                <w:sz w:val="21"/>
              </w:rPr>
              <w:t>2004】66号）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《信息安全等级保护管理办法》（公通字【</w:t>
            </w:r>
            <w:r>
              <w:rPr>
                <w:rFonts w:ascii="仿宋_GB2312" w:hAnsi="仿宋_GB2312" w:cs="仿宋_GB2312" w:eastAsia="仿宋_GB2312"/>
                <w:sz w:val="21"/>
              </w:rPr>
              <w:t>2007】43号）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《关于开展信息安全等级保护安全建设整改工作的指导意见》（公信安</w:t>
            </w:r>
            <w:r>
              <w:rPr>
                <w:rFonts w:ascii="仿宋_GB2312" w:hAnsi="仿宋_GB2312" w:cs="仿宋_GB2312" w:eastAsia="仿宋_GB2312"/>
                <w:sz w:val="21"/>
              </w:rPr>
              <w:t>【</w:t>
            </w:r>
            <w:r>
              <w:rPr>
                <w:rFonts w:ascii="仿宋_GB2312" w:hAnsi="仿宋_GB2312" w:cs="仿宋_GB2312" w:eastAsia="仿宋_GB2312"/>
                <w:sz w:val="21"/>
              </w:rPr>
              <w:t>2009】1429号）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《关于推动信息安全等级保护测评体系建设和开展等级测评工作的通知》（公信安【</w:t>
            </w:r>
            <w:r>
              <w:rPr>
                <w:rFonts w:ascii="仿宋_GB2312" w:hAnsi="仿宋_GB2312" w:cs="仿宋_GB2312" w:eastAsia="仿宋_GB2312"/>
                <w:sz w:val="21"/>
              </w:rPr>
              <w:t>2010】303号）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《关于印发</w:t>
            </w:r>
            <w:r>
              <w:rPr>
                <w:rFonts w:ascii="仿宋_GB2312" w:hAnsi="仿宋_GB2312" w:cs="仿宋_GB2312" w:eastAsia="仿宋_GB2312"/>
                <w:sz w:val="21"/>
              </w:rPr>
              <w:t>&lt;陕西省信息安全等级保护安全建设整改工作指导意见&gt;的通知》 （陕等保办【2011】2号）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《陕西省公安厅重要信息系统和重点网站安全执法检查反馈意见》（陕公网字检字【</w:t>
            </w:r>
            <w:r>
              <w:rPr>
                <w:rFonts w:ascii="仿宋_GB2312" w:hAnsi="仿宋_GB2312" w:cs="仿宋_GB2312" w:eastAsia="仿宋_GB2312"/>
                <w:sz w:val="21"/>
              </w:rPr>
              <w:t>2015】713号）</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标准规范文件：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计算机信息系统安全保护等级划分准则》（</w:t>
            </w:r>
            <w:r>
              <w:rPr>
                <w:rFonts w:ascii="仿宋_GB2312" w:hAnsi="仿宋_GB2312" w:cs="仿宋_GB2312" w:eastAsia="仿宋_GB2312"/>
                <w:sz w:val="21"/>
              </w:rPr>
              <w:t>GB 17859-1999）</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《信息安全技术网络安全等级保护定级指南》（</w:t>
            </w:r>
            <w:r>
              <w:rPr>
                <w:rFonts w:ascii="仿宋_GB2312" w:hAnsi="仿宋_GB2312" w:cs="仿宋_GB2312" w:eastAsia="仿宋_GB2312"/>
                <w:sz w:val="21"/>
              </w:rPr>
              <w:t>GB/T 22240-2020）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《信息安全技术网络安全等级保护基本要求》（</w:t>
            </w:r>
            <w:r>
              <w:rPr>
                <w:rFonts w:ascii="仿宋_GB2312" w:hAnsi="仿宋_GB2312" w:cs="仿宋_GB2312" w:eastAsia="仿宋_GB2312"/>
                <w:sz w:val="21"/>
              </w:rPr>
              <w:t>GB/T 22239-2019）</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《信息安全技术网络安全等级保护测评要求》（</w:t>
            </w:r>
            <w:r>
              <w:rPr>
                <w:rFonts w:ascii="仿宋_GB2312" w:hAnsi="仿宋_GB2312" w:cs="仿宋_GB2312" w:eastAsia="仿宋_GB2312"/>
                <w:sz w:val="21"/>
              </w:rPr>
              <w:t>GB/T 28448-2019）</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《信息安全技术网络安全等级保护测评过程指南》（</w:t>
            </w:r>
            <w:r>
              <w:rPr>
                <w:rFonts w:ascii="仿宋_GB2312" w:hAnsi="仿宋_GB2312" w:cs="仿宋_GB2312" w:eastAsia="仿宋_GB2312"/>
                <w:sz w:val="21"/>
              </w:rPr>
              <w:t>GB/T 28449-2018）</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《信息安全技术网络安全等级保护测试评估技术指南》（</w:t>
            </w:r>
            <w:r>
              <w:rPr>
                <w:rFonts w:ascii="仿宋_GB2312" w:hAnsi="仿宋_GB2312" w:cs="仿宋_GB2312" w:eastAsia="仿宋_GB2312"/>
                <w:sz w:val="21"/>
              </w:rPr>
              <w:t>GB/T 36627-2018）</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《信息安全技术网络安全等级保护安全管理中心技术要求》（</w:t>
            </w:r>
            <w:r>
              <w:rPr>
                <w:rFonts w:ascii="仿宋_GB2312" w:hAnsi="仿宋_GB2312" w:cs="仿宋_GB2312" w:eastAsia="仿宋_GB2312"/>
                <w:sz w:val="21"/>
              </w:rPr>
              <w:t>GB/T 36958- 2018）</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《信息安全技术信息安全风险评估规范》（</w:t>
            </w:r>
            <w:r>
              <w:rPr>
                <w:rFonts w:ascii="仿宋_GB2312" w:hAnsi="仿宋_GB2312" w:cs="仿宋_GB2312" w:eastAsia="仿宋_GB2312"/>
                <w:sz w:val="21"/>
              </w:rPr>
              <w:t>GB/T 20984-2007）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.2</w:t>
            </w:r>
            <w:r>
              <w:rPr>
                <w:rFonts w:ascii="仿宋_GB2312" w:hAnsi="仿宋_GB2312" w:cs="仿宋_GB2312" w:eastAsia="仿宋_GB2312"/>
                <w:sz w:val="21"/>
                <w:b/>
              </w:rPr>
              <w:t>服务总体要求</w:t>
            </w:r>
          </w:p>
          <w:p>
            <w:pPr>
              <w:pStyle w:val="null3"/>
              <w:jc w:val="both"/>
            </w:pPr>
            <w:r>
              <w:rPr>
                <w:rFonts w:ascii="仿宋_GB2312" w:hAnsi="仿宋_GB2312" w:cs="仿宋_GB2312" w:eastAsia="仿宋_GB2312"/>
                <w:sz w:val="21"/>
                <w:b/>
              </w:rPr>
              <w:t>3.2.1测评服务要求：</w:t>
            </w:r>
          </w:p>
          <w:p>
            <w:pPr>
              <w:pStyle w:val="null3"/>
              <w:jc w:val="both"/>
            </w:pPr>
            <w:r>
              <w:rPr>
                <w:rFonts w:ascii="仿宋_GB2312" w:hAnsi="仿宋_GB2312" w:cs="仿宋_GB2312" w:eastAsia="仿宋_GB2312"/>
                <w:sz w:val="21"/>
              </w:rPr>
              <w:t>依据《基本要求》（</w:t>
            </w:r>
            <w:r>
              <w:rPr>
                <w:rFonts w:ascii="仿宋_GB2312" w:hAnsi="仿宋_GB2312" w:cs="仿宋_GB2312" w:eastAsia="仿宋_GB2312"/>
                <w:sz w:val="21"/>
              </w:rPr>
              <w:t>GB/T 22239-2019）、《测评要求》（GB/T 28448-2019）和《测评过程指南》（GB/T 28449-2018）等国家关于网络安全等级保护2.0的相关标准和规范要求，</w:t>
            </w:r>
            <w:r>
              <w:rPr>
                <w:rFonts w:ascii="仿宋_GB2312" w:hAnsi="仿宋_GB2312" w:cs="仿宋_GB2312" w:eastAsia="仿宋_GB2312"/>
                <w:sz w:val="21"/>
              </w:rPr>
              <w:t>通过静态分析、渗透测试、综合评估等程序对</w:t>
            </w:r>
            <w:r>
              <w:rPr>
                <w:rFonts w:ascii="仿宋_GB2312" w:hAnsi="仿宋_GB2312" w:cs="仿宋_GB2312" w:eastAsia="仿宋_GB2312"/>
                <w:sz w:val="21"/>
              </w:rPr>
              <w:t>采购人信息</w:t>
            </w:r>
            <w:r>
              <w:rPr>
                <w:rFonts w:ascii="仿宋_GB2312" w:hAnsi="仿宋_GB2312" w:cs="仿宋_GB2312" w:eastAsia="仿宋_GB2312"/>
                <w:sz w:val="21"/>
              </w:rPr>
              <w:t>系统的安全保护状况</w:t>
            </w:r>
            <w:r>
              <w:rPr>
                <w:rFonts w:ascii="仿宋_GB2312" w:hAnsi="仿宋_GB2312" w:cs="仿宋_GB2312" w:eastAsia="仿宋_GB2312"/>
                <w:sz w:val="21"/>
              </w:rPr>
              <w:t>进行测评</w:t>
            </w:r>
            <w:r>
              <w:rPr>
                <w:rFonts w:ascii="仿宋_GB2312" w:hAnsi="仿宋_GB2312" w:cs="仿宋_GB2312" w:eastAsia="仿宋_GB2312"/>
                <w:sz w:val="21"/>
              </w:rPr>
              <w:t>，找出其与</w:t>
            </w:r>
            <w:r>
              <w:rPr>
                <w:rFonts w:ascii="仿宋_GB2312" w:hAnsi="仿宋_GB2312" w:cs="仿宋_GB2312" w:eastAsia="仿宋_GB2312"/>
                <w:sz w:val="21"/>
              </w:rPr>
              <w:t>《网络</w:t>
            </w:r>
            <w:r>
              <w:rPr>
                <w:rFonts w:ascii="仿宋_GB2312" w:hAnsi="仿宋_GB2312" w:cs="仿宋_GB2312" w:eastAsia="仿宋_GB2312"/>
                <w:sz w:val="21"/>
              </w:rPr>
              <w:t>安全等级保护基本要求》对应级别的差距，及时发现系统存在的安全问题，针对等保测评中发现的各种安全风险，提出适宜的安全整改建议，提供整改技术支持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等级测评分安全技术及安全管理两大方面共十个层面的单元测评，以及在此基础上进行的系统整体测评和后续的风险分析。</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单元测评：</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物理环境测评：包括位置、访问控制、防盗窃防破坏、防雷击、防火、防水和防潮、防静电、温湿度控制、电磁防护等内容。</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网络系统测评：包括网络架构、网络访问控制、网络安全审计、边界完整性检查、网络入侵防范、网络恶意代码防范、网络设备防护等内容。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主机与数据库测评：</w:t>
            </w:r>
            <w:r>
              <w:rPr>
                <w:rFonts w:ascii="仿宋_GB2312" w:hAnsi="仿宋_GB2312" w:cs="仿宋_GB2312" w:eastAsia="仿宋_GB2312"/>
                <w:sz w:val="21"/>
              </w:rPr>
              <w:t>包括</w:t>
            </w:r>
            <w:r>
              <w:rPr>
                <w:rFonts w:ascii="仿宋_GB2312" w:hAnsi="仿宋_GB2312" w:cs="仿宋_GB2312" w:eastAsia="仿宋_GB2312"/>
                <w:sz w:val="21"/>
              </w:rPr>
              <w:t>主机与数据库身份鉴别、主机与数据库访问控制、主机与数据库安全审计、主机与数据库入侵防范、主机恶意代码防范、信息资源安全、资源控制等内容。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应用系统测评：包括应用系统身份鉴别、应用系统访问控制、应用系统安全审计、剩余信息保护、通信完整性、通信保密性、抗抵赖、软件容错、资源控制等内容。</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数据及备份恢复测评：包括数据完整性、数据保密性、备份和恢复等内容。</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6）安全</w:t>
            </w:r>
            <w:r>
              <w:rPr>
                <w:rFonts w:ascii="仿宋_GB2312" w:hAnsi="仿宋_GB2312" w:cs="仿宋_GB2312" w:eastAsia="仿宋_GB2312"/>
                <w:sz w:val="21"/>
              </w:rPr>
              <w:t>管理制度</w:t>
            </w:r>
            <w:r>
              <w:rPr>
                <w:rFonts w:ascii="仿宋_GB2312" w:hAnsi="仿宋_GB2312" w:cs="仿宋_GB2312" w:eastAsia="仿宋_GB2312"/>
                <w:sz w:val="21"/>
              </w:rPr>
              <w:t>测评：包括管理制度、制定和发布、评审和修订等内容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7）安全</w:t>
            </w:r>
            <w:r>
              <w:rPr>
                <w:rFonts w:ascii="仿宋_GB2312" w:hAnsi="仿宋_GB2312" w:cs="仿宋_GB2312" w:eastAsia="仿宋_GB2312"/>
                <w:sz w:val="21"/>
              </w:rPr>
              <w:t>管理机构</w:t>
            </w:r>
            <w:r>
              <w:rPr>
                <w:rFonts w:ascii="仿宋_GB2312" w:hAnsi="仿宋_GB2312" w:cs="仿宋_GB2312" w:eastAsia="仿宋_GB2312"/>
                <w:sz w:val="21"/>
              </w:rPr>
              <w:t>测评：包括岗位设置、人员配备、授权和审批、沟通和合作、审核和检查、资金保障等内容。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人员</w:t>
            </w:r>
            <w:r>
              <w:rPr>
                <w:rFonts w:ascii="仿宋_GB2312" w:hAnsi="仿宋_GB2312" w:cs="仿宋_GB2312" w:eastAsia="仿宋_GB2312"/>
                <w:sz w:val="21"/>
              </w:rPr>
              <w:t>安全</w:t>
            </w:r>
            <w:r>
              <w:rPr>
                <w:rFonts w:ascii="仿宋_GB2312" w:hAnsi="仿宋_GB2312" w:cs="仿宋_GB2312" w:eastAsia="仿宋_GB2312"/>
                <w:sz w:val="21"/>
              </w:rPr>
              <w:t>管理</w:t>
            </w:r>
            <w:r>
              <w:rPr>
                <w:rFonts w:ascii="仿宋_GB2312" w:hAnsi="仿宋_GB2312" w:cs="仿宋_GB2312" w:eastAsia="仿宋_GB2312"/>
                <w:sz w:val="21"/>
              </w:rPr>
              <w:t>测评：包括人员录用、人员离岗、人员考核、安全意识教育和培训、外部人员访问管理等内容。</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系统建设</w:t>
            </w:r>
            <w:r>
              <w:rPr>
                <w:rFonts w:ascii="仿宋_GB2312" w:hAnsi="仿宋_GB2312" w:cs="仿宋_GB2312" w:eastAsia="仿宋_GB2312"/>
                <w:sz w:val="21"/>
              </w:rPr>
              <w:t>管理测评：包括系统定级、安全方案设计、产品采购、自行软件开发、外包软件开发、工程实施、测试验收、系统交付、系统备案、等级测评、</w:t>
            </w:r>
            <w:r>
              <w:rPr>
                <w:rFonts w:ascii="仿宋_GB2312" w:hAnsi="仿宋_GB2312" w:cs="仿宋_GB2312" w:eastAsia="仿宋_GB2312"/>
                <w:sz w:val="21"/>
              </w:rPr>
              <w:t>供应商</w:t>
            </w:r>
            <w:r>
              <w:rPr>
                <w:rFonts w:ascii="仿宋_GB2312" w:hAnsi="仿宋_GB2312" w:cs="仿宋_GB2312" w:eastAsia="仿宋_GB2312"/>
                <w:sz w:val="21"/>
              </w:rPr>
              <w:t>选择等内容。</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系统运维</w:t>
            </w:r>
            <w:r>
              <w:rPr>
                <w:rFonts w:ascii="仿宋_GB2312" w:hAnsi="仿宋_GB2312" w:cs="仿宋_GB2312" w:eastAsia="仿宋_GB2312"/>
                <w:sz w:val="21"/>
              </w:rPr>
              <w:t>管理测评：包括环境管理、资产管理、介质管理、设备管理、监控管理和安全管理中心、网络安全管理、系统安全管理、恶意代码防范管理、密码管理、变更管理、备份与恢复管理、安全事件处置、应急预案管理等内容。</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整体测评：</w:t>
            </w:r>
          </w:p>
          <w:p>
            <w:pPr>
              <w:pStyle w:val="null3"/>
              <w:jc w:val="both"/>
            </w:pPr>
            <w:r>
              <w:rPr>
                <w:rFonts w:ascii="仿宋_GB2312" w:hAnsi="仿宋_GB2312" w:cs="仿宋_GB2312" w:eastAsia="仿宋_GB2312"/>
                <w:sz w:val="21"/>
              </w:rPr>
              <w:t>整体测评是对单元测评中发现的问题进行系统整体测评分析，包括从安全控制点间、层面间、区域间和系统结构等方面进行安全测评。</w:t>
            </w:r>
          </w:p>
          <w:p>
            <w:pPr>
              <w:pStyle w:val="null3"/>
              <w:jc w:val="both"/>
            </w:pPr>
            <w:r>
              <w:rPr>
                <w:rFonts w:ascii="仿宋_GB2312" w:hAnsi="仿宋_GB2312" w:cs="仿宋_GB2312" w:eastAsia="仿宋_GB2312"/>
                <w:sz w:val="21"/>
                <w:b/>
              </w:rPr>
              <w:t>3.2.2渗透测试服务要求：</w:t>
            </w:r>
          </w:p>
          <w:p>
            <w:pPr>
              <w:pStyle w:val="null3"/>
              <w:jc w:val="left"/>
            </w:pPr>
            <w:r>
              <w:rPr>
                <w:rFonts w:ascii="仿宋_GB2312" w:hAnsi="仿宋_GB2312" w:cs="仿宋_GB2312" w:eastAsia="仿宋_GB2312"/>
                <w:sz w:val="21"/>
              </w:rPr>
              <w:t>渗透</w:t>
            </w:r>
            <w:r>
              <w:rPr>
                <w:rFonts w:ascii="仿宋_GB2312" w:hAnsi="仿宋_GB2312" w:cs="仿宋_GB2312" w:eastAsia="仿宋_GB2312"/>
                <w:sz w:val="21"/>
              </w:rPr>
              <w:t>性</w:t>
            </w:r>
            <w:r>
              <w:rPr>
                <w:rFonts w:ascii="仿宋_GB2312" w:hAnsi="仿宋_GB2312" w:cs="仿宋_GB2312" w:eastAsia="仿宋_GB2312"/>
                <w:sz w:val="21"/>
              </w:rPr>
              <w:t>测试是通过模拟恶意黑客的攻击方法，来对计算机网络的安全性进行检测评估的过程。对系统和网络进行非破坏性质的攻击性测试，尝试侵入系统，获取系统控制权并将入侵的过程和细节产生报告给采购人，由此证实采购人所存在的安全威胁和风险，及时提示开发人员修复安全漏洞，提醒安全管理员完善安全策略，提升系统安全防护能力。</w:t>
            </w:r>
          </w:p>
          <w:p>
            <w:pPr>
              <w:pStyle w:val="null3"/>
              <w:jc w:val="both"/>
            </w:pPr>
            <w:r>
              <w:rPr>
                <w:rFonts w:ascii="仿宋_GB2312" w:hAnsi="仿宋_GB2312" w:cs="仿宋_GB2312" w:eastAsia="仿宋_GB2312"/>
                <w:sz w:val="21"/>
                <w:b/>
              </w:rPr>
              <w:t>3.2.3售后服务要求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应急响应及应急处理要求：</w:t>
            </w:r>
            <w:r>
              <w:rPr>
                <w:rFonts w:ascii="仿宋_GB2312" w:hAnsi="仿宋_GB2312" w:cs="仿宋_GB2312" w:eastAsia="仿宋_GB2312"/>
                <w:sz w:val="21"/>
              </w:rPr>
              <w:t>供应商</w:t>
            </w:r>
            <w:r>
              <w:rPr>
                <w:rFonts w:ascii="仿宋_GB2312" w:hAnsi="仿宋_GB2312" w:cs="仿宋_GB2312" w:eastAsia="仿宋_GB2312"/>
                <w:sz w:val="21"/>
              </w:rPr>
              <w:t>在测评项目结束后，要提供至少一年的信息安全应急处理保障。一旦被测系统出现紧急重大安全事件，收到</w:t>
            </w:r>
            <w:r>
              <w:rPr>
                <w:rFonts w:ascii="仿宋_GB2312" w:hAnsi="仿宋_GB2312" w:cs="仿宋_GB2312" w:eastAsia="仿宋_GB2312"/>
                <w:sz w:val="21"/>
              </w:rPr>
              <w:t>采购人</w:t>
            </w:r>
            <w:r>
              <w:rPr>
                <w:rFonts w:ascii="仿宋_GB2312" w:hAnsi="仿宋_GB2312" w:cs="仿宋_GB2312" w:eastAsia="仿宋_GB2312"/>
                <w:sz w:val="21"/>
              </w:rPr>
              <w:t>的服务请求，测评单位工程师在</w:t>
            </w:r>
            <w:r>
              <w:rPr>
                <w:rFonts w:ascii="仿宋_GB2312" w:hAnsi="仿宋_GB2312" w:cs="仿宋_GB2312" w:eastAsia="仿宋_GB2312"/>
                <w:sz w:val="21"/>
              </w:rPr>
              <w:t>3 小时内到达</w:t>
            </w:r>
            <w:r>
              <w:rPr>
                <w:rFonts w:ascii="仿宋_GB2312" w:hAnsi="仿宋_GB2312" w:cs="仿宋_GB2312" w:eastAsia="仿宋_GB2312"/>
                <w:sz w:val="21"/>
              </w:rPr>
              <w:t>采购人</w:t>
            </w:r>
            <w:r>
              <w:rPr>
                <w:rFonts w:ascii="仿宋_GB2312" w:hAnsi="仿宋_GB2312" w:cs="仿宋_GB2312" w:eastAsia="仿宋_GB2312"/>
                <w:sz w:val="21"/>
              </w:rPr>
              <w:t>现场，提供服务。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安全咨询服务：</w:t>
            </w:r>
            <w:r>
              <w:rPr>
                <w:rFonts w:ascii="仿宋_GB2312" w:hAnsi="仿宋_GB2312" w:cs="仿宋_GB2312" w:eastAsia="仿宋_GB2312"/>
                <w:sz w:val="21"/>
              </w:rPr>
              <w:t>供应商</w:t>
            </w:r>
            <w:r>
              <w:rPr>
                <w:rFonts w:ascii="仿宋_GB2312" w:hAnsi="仿宋_GB2312" w:cs="仿宋_GB2312" w:eastAsia="仿宋_GB2312"/>
                <w:sz w:val="21"/>
              </w:rPr>
              <w:t>在测评项目结束后，要提供至少一年的安全咨询服务，包括但不限于安全技术咨询、安全整改建设咨询、管理制度及国家法规等，</w:t>
            </w:r>
            <w:r>
              <w:rPr>
                <w:rFonts w:ascii="仿宋_GB2312" w:hAnsi="仿宋_GB2312" w:cs="仿宋_GB2312" w:eastAsia="仿宋_GB2312"/>
                <w:sz w:val="21"/>
              </w:rPr>
              <w:t>供应商</w:t>
            </w:r>
            <w:r>
              <w:rPr>
                <w:rFonts w:ascii="仿宋_GB2312" w:hAnsi="仿宋_GB2312" w:cs="仿宋_GB2312" w:eastAsia="仿宋_GB2312"/>
                <w:sz w:val="21"/>
              </w:rPr>
              <w:t>需提供咨询建议和方案建议。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网络与信息安全信息通报服务要求：</w:t>
            </w:r>
            <w:r>
              <w:rPr>
                <w:rFonts w:ascii="仿宋_GB2312" w:hAnsi="仿宋_GB2312" w:cs="仿宋_GB2312" w:eastAsia="仿宋_GB2312"/>
                <w:sz w:val="21"/>
              </w:rPr>
              <w:t>供应商</w:t>
            </w:r>
            <w:r>
              <w:rPr>
                <w:rFonts w:ascii="仿宋_GB2312" w:hAnsi="仿宋_GB2312" w:cs="仿宋_GB2312" w:eastAsia="仿宋_GB2312"/>
                <w:sz w:val="21"/>
              </w:rPr>
              <w:t>需要在测评结束后，提供至少的一年网络信息安全通报服务，要与</w:t>
            </w:r>
            <w:r>
              <w:rPr>
                <w:rFonts w:ascii="仿宋_GB2312" w:hAnsi="仿宋_GB2312" w:cs="仿宋_GB2312" w:eastAsia="仿宋_GB2312"/>
                <w:sz w:val="21"/>
              </w:rPr>
              <w:t>采购人</w:t>
            </w:r>
            <w:r>
              <w:rPr>
                <w:rFonts w:ascii="仿宋_GB2312" w:hAnsi="仿宋_GB2312" w:cs="仿宋_GB2312" w:eastAsia="仿宋_GB2312"/>
                <w:sz w:val="21"/>
              </w:rPr>
              <w:t>建立完善的通报和沟通机制，及时按照国家标准提供对应服务。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电话支持服务：每天</w:t>
            </w:r>
            <w:r>
              <w:rPr>
                <w:rFonts w:ascii="仿宋_GB2312" w:hAnsi="仿宋_GB2312" w:cs="仿宋_GB2312" w:eastAsia="仿宋_GB2312"/>
                <w:sz w:val="21"/>
              </w:rPr>
              <w:t>24小时不间断的电话支持服务，解答采购人在系统运行过程中遇到的安全问题，及时提出解决问题的建议和操作方法。电话响应时间不超过10分钟，到达现场时间不超过3小时，解决问题不超过24小时。</w:t>
            </w:r>
          </w:p>
          <w:p>
            <w:pPr>
              <w:pStyle w:val="null3"/>
              <w:jc w:val="both"/>
            </w:pPr>
            <w:r>
              <w:rPr>
                <w:rFonts w:ascii="仿宋_GB2312" w:hAnsi="仿宋_GB2312" w:cs="仿宋_GB2312" w:eastAsia="仿宋_GB2312"/>
                <w:sz w:val="21"/>
                <w:b/>
              </w:rPr>
              <w:t>3.2.4 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须与</w:t>
            </w:r>
            <w:r>
              <w:rPr>
                <w:rFonts w:ascii="仿宋_GB2312" w:hAnsi="仿宋_GB2312" w:cs="仿宋_GB2312" w:eastAsia="仿宋_GB2312"/>
                <w:sz w:val="21"/>
              </w:rPr>
              <w:t>采购人</w:t>
            </w:r>
            <w:r>
              <w:rPr>
                <w:rFonts w:ascii="仿宋_GB2312" w:hAnsi="仿宋_GB2312" w:cs="仿宋_GB2312" w:eastAsia="仿宋_GB2312"/>
                <w:sz w:val="21"/>
              </w:rPr>
              <w:t>签订项目合同、保密协议和现场评测授权书、风险预判告知书，核实驻场测评师资质与投标时对本项目配备的测评师是否一致。确因工作调配需更换测评师，需提前</w:t>
            </w:r>
            <w:r>
              <w:rPr>
                <w:rFonts w:ascii="仿宋_GB2312" w:hAnsi="仿宋_GB2312" w:cs="仿宋_GB2312" w:eastAsia="仿宋_GB2312"/>
                <w:sz w:val="21"/>
              </w:rPr>
              <w:t>10 个工作日向</w:t>
            </w:r>
            <w:r>
              <w:rPr>
                <w:rFonts w:ascii="仿宋_GB2312" w:hAnsi="仿宋_GB2312" w:cs="仿宋_GB2312" w:eastAsia="仿宋_GB2312"/>
                <w:sz w:val="21"/>
              </w:rPr>
              <w:t>采购人</w:t>
            </w:r>
            <w:r>
              <w:rPr>
                <w:rFonts w:ascii="仿宋_GB2312" w:hAnsi="仿宋_GB2312" w:cs="仿宋_GB2312" w:eastAsia="仿宋_GB2312"/>
                <w:sz w:val="21"/>
              </w:rPr>
              <w:t>信息部门负责人员书面报备，并供更换测评师资质证明。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w:t>
            </w:r>
            <w:r>
              <w:rPr>
                <w:rFonts w:ascii="仿宋_GB2312" w:hAnsi="仿宋_GB2312" w:cs="仿宋_GB2312" w:eastAsia="仿宋_GB2312"/>
                <w:sz w:val="21"/>
              </w:rPr>
              <w:t>需在中标后，协助</w:t>
            </w:r>
            <w:r>
              <w:rPr>
                <w:rFonts w:ascii="仿宋_GB2312" w:hAnsi="仿宋_GB2312" w:cs="仿宋_GB2312" w:eastAsia="仿宋_GB2312"/>
                <w:sz w:val="21"/>
              </w:rPr>
              <w:t>采购人</w:t>
            </w:r>
            <w:r>
              <w:rPr>
                <w:rFonts w:ascii="仿宋_GB2312" w:hAnsi="仿宋_GB2312" w:cs="仿宋_GB2312" w:eastAsia="仿宋_GB2312"/>
                <w:sz w:val="21"/>
              </w:rPr>
              <w:t>开展备案资料梳理工作，并协助</w:t>
            </w:r>
            <w:r>
              <w:rPr>
                <w:rFonts w:ascii="仿宋_GB2312" w:hAnsi="仿宋_GB2312" w:cs="仿宋_GB2312" w:eastAsia="仿宋_GB2312"/>
                <w:sz w:val="21"/>
              </w:rPr>
              <w:t>采购人</w:t>
            </w:r>
            <w:r>
              <w:rPr>
                <w:rFonts w:ascii="仿宋_GB2312" w:hAnsi="仿宋_GB2312" w:cs="仿宋_GB2312" w:eastAsia="仿宋_GB2312"/>
                <w:sz w:val="21"/>
              </w:rPr>
              <w:t>取得公安部门办理的等级保护备案证。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须提供完善的测评实施方案和计划、测评方案，经</w:t>
            </w:r>
            <w:r>
              <w:rPr>
                <w:rFonts w:ascii="仿宋_GB2312" w:hAnsi="仿宋_GB2312" w:cs="仿宋_GB2312" w:eastAsia="仿宋_GB2312"/>
                <w:sz w:val="21"/>
              </w:rPr>
              <w:t>采购人</w:t>
            </w:r>
            <w:r>
              <w:rPr>
                <w:rFonts w:ascii="仿宋_GB2312" w:hAnsi="仿宋_GB2312" w:cs="仿宋_GB2312" w:eastAsia="仿宋_GB2312"/>
                <w:sz w:val="21"/>
              </w:rPr>
              <w:t>审核通过后实施，完成</w:t>
            </w:r>
            <w:r>
              <w:rPr>
                <w:rFonts w:ascii="仿宋_GB2312" w:hAnsi="仿宋_GB2312" w:cs="仿宋_GB2312" w:eastAsia="仿宋_GB2312"/>
                <w:sz w:val="21"/>
              </w:rPr>
              <w:t>采购人</w:t>
            </w:r>
            <w:r>
              <w:rPr>
                <w:rFonts w:ascii="仿宋_GB2312" w:hAnsi="仿宋_GB2312" w:cs="仿宋_GB2312" w:eastAsia="仿宋_GB2312"/>
                <w:sz w:val="21"/>
              </w:rPr>
              <w:t>对安全管理制度的补充完善和整理工作，配合对</w:t>
            </w:r>
            <w:r>
              <w:rPr>
                <w:rFonts w:ascii="仿宋_GB2312" w:hAnsi="仿宋_GB2312" w:cs="仿宋_GB2312" w:eastAsia="仿宋_GB2312"/>
                <w:sz w:val="21"/>
              </w:rPr>
              <w:t>采购人</w:t>
            </w:r>
            <w:r>
              <w:rPr>
                <w:rFonts w:ascii="仿宋_GB2312" w:hAnsi="仿宋_GB2312" w:cs="仿宋_GB2312" w:eastAsia="仿宋_GB2312"/>
                <w:sz w:val="21"/>
              </w:rPr>
              <w:t>信息系统进行整改测评服务。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须服从</w:t>
            </w:r>
            <w:r>
              <w:rPr>
                <w:rFonts w:ascii="仿宋_GB2312" w:hAnsi="仿宋_GB2312" w:cs="仿宋_GB2312" w:eastAsia="仿宋_GB2312"/>
                <w:sz w:val="21"/>
              </w:rPr>
              <w:t>采购人</w:t>
            </w:r>
            <w:r>
              <w:rPr>
                <w:rFonts w:ascii="仿宋_GB2312" w:hAnsi="仿宋_GB2312" w:cs="仿宋_GB2312" w:eastAsia="仿宋_GB2312"/>
                <w:sz w:val="21"/>
              </w:rPr>
              <w:t>业务信息系统的统一协调，且必须在项目实施期间由</w:t>
            </w:r>
            <w:r>
              <w:rPr>
                <w:rFonts w:ascii="仿宋_GB2312" w:hAnsi="仿宋_GB2312" w:cs="仿宋_GB2312" w:eastAsia="仿宋_GB2312"/>
                <w:sz w:val="21"/>
              </w:rPr>
              <w:t>供应商</w:t>
            </w:r>
            <w:r>
              <w:rPr>
                <w:rFonts w:ascii="仿宋_GB2312" w:hAnsi="仿宋_GB2312" w:cs="仿宋_GB2312" w:eastAsia="仿宋_GB2312"/>
                <w:sz w:val="21"/>
              </w:rPr>
              <w:t>派驻有丰富实施经验的测评师为项目实施团队，全程参与项目实施，现场检测工时必须符合国家相关标准。</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.3</w:t>
            </w:r>
            <w:r>
              <w:rPr>
                <w:rFonts w:ascii="仿宋_GB2312" w:hAnsi="仿宋_GB2312" w:cs="仿宋_GB2312" w:eastAsia="仿宋_GB2312"/>
                <w:sz w:val="21"/>
                <w:b/>
              </w:rPr>
              <w:t>测评指标</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.3.1</w:t>
            </w:r>
            <w:r>
              <w:rPr>
                <w:rFonts w:ascii="仿宋_GB2312" w:hAnsi="仿宋_GB2312" w:cs="仿宋_GB2312" w:eastAsia="仿宋_GB2312"/>
                <w:sz w:val="21"/>
                <w:b/>
              </w:rPr>
              <w:t>二级要求指标</w:t>
            </w:r>
          </w:p>
          <w:tbl>
            <w:tblPr>
              <w:tblInd w:type="dxa" w:w="120"/>
              <w:tblBorders>
                <w:top w:val="none" w:color="000000" w:sz="4"/>
                <w:left w:val="none" w:color="000000" w:sz="4"/>
                <w:bottom w:val="none" w:color="000000" w:sz="4"/>
                <w:right w:val="none" w:color="000000" w:sz="4"/>
                <w:insideH w:val="none"/>
                <w:insideV w:val="none"/>
              </w:tblBorders>
            </w:tblPr>
            <w:tblGrid>
              <w:gridCol w:w="274"/>
              <w:gridCol w:w="391"/>
              <w:gridCol w:w="188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安全层面</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安全控制点</w:t>
                  </w:r>
                </w:p>
              </w:tc>
              <w:tc>
                <w:tcPr>
                  <w:tcW w:type="dxa" w:w="1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测评指标（</w:t>
                  </w:r>
                  <w:r>
                    <w:rPr>
                      <w:rFonts w:ascii="仿宋_GB2312" w:hAnsi="仿宋_GB2312" w:cs="仿宋_GB2312" w:eastAsia="仿宋_GB2312"/>
                      <w:sz w:val="21"/>
                      <w:b/>
                    </w:rPr>
                    <w:t>2.0）</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安全物理环</w:t>
                  </w:r>
                  <w:r>
                    <w:rPr>
                      <w:rFonts w:ascii="仿宋_GB2312" w:hAnsi="仿宋_GB2312" w:cs="仿宋_GB2312" w:eastAsia="仿宋_GB2312"/>
                      <w:sz w:val="21"/>
                    </w:rPr>
                    <w:t>境</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物理位置选择</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机房场地应选择在具有防震、防风和防雨等能力的建筑内；</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机房场地应避免设在建筑物的顶层或地下室，否则应加强防水和防潮措施。</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物理访问控制</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机房出入口应安排专人值守或配置电子门禁系统，控制、鉴别和记录进入的人员。</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防盗窃和防破坏</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应将设备或主要部件进行固定，并设置明显的不易除去的标记；</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b)应将通信线缆铺设在隐蔽处。</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防雷击</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应将各类机柜、设施和设备等通过接地系统安全接地。</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机房应设置火灾自动消防系统，能够自动检测火情、自动报警，并自动灭火；</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机房及相关的工作房间和辅助房应采用具有耐火等级的建筑材料。</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防水防潮</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应采取措施防止雨水通过机房窗口、屋顶和墙壁渗透；</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应采取措施防止机房内水蒸气结露和地下积水的转移与渗透。</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防静电</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a)应采用防静电地板并采用必要的接地防静电措施。</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温湿度控制</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应设置温湿度自动调节设施，使机房温湿度的变化在设备运行所允许的范围之内。</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电力供应</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应在机房供电线路上配置稳压器和过电压防护设备；</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应提供短期的备用电力供应，至少满足设备在断电情况下的正常运行要求。</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电磁防护</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a)电源线和通信线缆应隔离铺设，避免互相干扰。</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安全通信网</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网络架构</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应划分不同的网络区域，并按照方便管理和控制的原则为各个网络区域分配地址；</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应避免将重要网络区域部署在边界处，重要网络区域与其他网络区域之间应采取可靠的技术隔离手段。</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通信传输</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a)应采用校验技术保证通信过程中数据的完整性。</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可基于可信根对通信设备的系统引导程序、系统程序、重要配置参数和通信应用程序等进行可信验证，并在检测到其可信性受到破坏后进行报警，并将验证结果形成审计记录送至安全管理中心。</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安全区域边</w:t>
                  </w:r>
                  <w:r>
                    <w:rPr>
                      <w:rFonts w:ascii="仿宋_GB2312" w:hAnsi="仿宋_GB2312" w:cs="仿宋_GB2312" w:eastAsia="仿宋_GB2312"/>
                      <w:sz w:val="21"/>
                    </w:rPr>
                    <w:t>界</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边界防护</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应保证跨越边界的访问和数据流通过边界设备提供的受控接口进行通信。</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访问控制</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应在网络边界或区域之间访问控制策略设置访问控制规则，默认情况下除允许通信外受控接口拒绝所有通信；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应删除多余或无效的访问控制规则，优化访问控制列表，并保证访问控制规则数量最小化；</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）应对源地址、目标地址、源端口、目的端口和协议等进行检查，</w:t>
                  </w:r>
                  <w:r>
                    <w:rPr>
                      <w:rFonts w:ascii="仿宋_GB2312" w:hAnsi="仿宋_GB2312" w:cs="仿宋_GB2312" w:eastAsia="仿宋_GB2312"/>
                      <w:sz w:val="21"/>
                    </w:rPr>
                    <w:t xml:space="preserve"> </w:t>
                  </w:r>
                  <w:r>
                    <w:rPr>
                      <w:rFonts w:ascii="仿宋_GB2312" w:hAnsi="仿宋_GB2312" w:cs="仿宋_GB2312" w:eastAsia="仿宋_GB2312"/>
                      <w:sz w:val="21"/>
                      <w:color w:val="000000"/>
                    </w:rPr>
                    <w:t>以允许</w:t>
                  </w:r>
                  <w:r>
                    <w:rPr>
                      <w:rFonts w:ascii="仿宋_GB2312" w:hAnsi="仿宋_GB2312" w:cs="仿宋_GB2312" w:eastAsia="仿宋_GB2312"/>
                      <w:sz w:val="21"/>
                    </w:rPr>
                    <w:t>/</w:t>
                  </w:r>
                  <w:r>
                    <w:rPr>
                      <w:rFonts w:ascii="仿宋_GB2312" w:hAnsi="仿宋_GB2312" w:cs="仿宋_GB2312" w:eastAsia="仿宋_GB2312"/>
                      <w:sz w:val="21"/>
                      <w:color w:val="000000"/>
                    </w:rPr>
                    <w:t>拒绝数据包进出；</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w:t>
                  </w:r>
                  <w:r>
                    <w:rPr>
                      <w:rFonts w:ascii="仿宋_GB2312" w:hAnsi="仿宋_GB2312" w:cs="仿宋_GB2312" w:eastAsia="仿宋_GB2312"/>
                      <w:sz w:val="21"/>
                      <w:color w:val="000000"/>
                    </w:rPr>
                    <w:t>应能根据会话状态信息为进出数据流提供明确的允许</w:t>
                  </w:r>
                  <w:r>
                    <w:rPr>
                      <w:rFonts w:ascii="仿宋_GB2312" w:hAnsi="仿宋_GB2312" w:cs="仿宋_GB2312" w:eastAsia="仿宋_GB2312"/>
                      <w:sz w:val="21"/>
                    </w:rPr>
                    <w:t>/</w:t>
                  </w:r>
                  <w:r>
                    <w:rPr>
                      <w:rFonts w:ascii="仿宋_GB2312" w:hAnsi="仿宋_GB2312" w:cs="仿宋_GB2312" w:eastAsia="仿宋_GB2312"/>
                      <w:sz w:val="21"/>
                      <w:color w:val="000000"/>
                    </w:rPr>
                    <w:t>拒绝访问的能力。</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入侵防范</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a）应在关键网络节点处监视网络攻击行为。</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恶意代码防范</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a) </w:t>
                  </w:r>
                  <w:r>
                    <w:rPr>
                      <w:rFonts w:ascii="仿宋_GB2312" w:hAnsi="仿宋_GB2312" w:cs="仿宋_GB2312" w:eastAsia="仿宋_GB2312"/>
                      <w:sz w:val="21"/>
                      <w:color w:val="000000"/>
                    </w:rPr>
                    <w:t>应在关键网络节点处对恶意代码进行检测和清除，并维护恶意代码防护机制的升级和更新。</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安全审计</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a) </w:t>
                  </w:r>
                  <w:r>
                    <w:rPr>
                      <w:rFonts w:ascii="仿宋_GB2312" w:hAnsi="仿宋_GB2312" w:cs="仿宋_GB2312" w:eastAsia="仿宋_GB2312"/>
                      <w:sz w:val="21"/>
                      <w:color w:val="000000"/>
                    </w:rPr>
                    <w:t>应在网络边界，重要网络节点进行安全审计，审计覆盖到每个用户，对重要的用户行为和重要安全事件进行审计；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b) </w:t>
                  </w:r>
                  <w:r>
                    <w:rPr>
                      <w:rFonts w:ascii="仿宋_GB2312" w:hAnsi="仿宋_GB2312" w:cs="仿宋_GB2312" w:eastAsia="仿宋_GB2312"/>
                      <w:sz w:val="21"/>
                      <w:color w:val="000000"/>
                    </w:rPr>
                    <w:t>审计记录应包括事件的日期和时间、用户、事件类型、事件是否成功及其他与审计相关的信息；</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）应对审计记录进行保护，定期备份，避免受到未预期的删除、修改或覆盖等。</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可基于可信根对边界设备的系统引导程序、系统程序、重要配置参数和通信应用程序等进行可信验证，并在检测到其可信性受到破坏后进行报警，并将验证结果形成审计记录送至安全管理中心。</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安全计算环</w:t>
                  </w:r>
                  <w:r>
                    <w:rPr>
                      <w:rFonts w:ascii="仿宋_GB2312" w:hAnsi="仿宋_GB2312" w:cs="仿宋_GB2312" w:eastAsia="仿宋_GB2312"/>
                      <w:sz w:val="21"/>
                    </w:rPr>
                    <w:t>境</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身份鉴别</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应对登录的用户进行身份标识和鉴别，身份标识具有唯一性，身份鉴别信息具有复杂度要求并定期更换；</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应具有登录失败处理功能，应配置并启用结束会话、限制非法登陆次数和当登录连接超时自动退出等相关措施；</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当进行远程管理时，应采取必要的措施防止鉴别信息在网络传输过程中被窃听。</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访问控制</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a)应对登录的用户分配账户和权限；</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应重命名或删除默认账户，修改默认账户的默认口令；</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应及时删除或停用多余的、过期的账户，避免共享账户的存在；</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w:t>
                  </w:r>
                  <w:r>
                    <w:rPr>
                      <w:rFonts w:ascii="仿宋_GB2312" w:hAnsi="仿宋_GB2312" w:cs="仿宋_GB2312" w:eastAsia="仿宋_GB2312"/>
                      <w:sz w:val="21"/>
                      <w:color w:val="000000"/>
                    </w:rPr>
                    <w:t>应授予管理用户所需的最小权限，实现管理用户的权限分离。</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安全审计</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应提供安全审计功能，审计覆盖到每个用户，对重要的用户行为和重要安全事件进行审计；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审计记录应包括事件的日期和时间、用户、事件类型、事件是否成功及其他与审计相关的信息；</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应对审计记录进行保护，定期备份，避免受到未预期的删除、修改或覆盖等。</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入侵防范</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应遵循最小安装的原则，仅安装需要的组件和应用程序；</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b)应关闭不需要的系统服务、默认共享和高危端口；</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应通过设定终端接入方式或网络地址范围对通过网络进行管理的管理终端进行限制；</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w:t>
                  </w:r>
                  <w:r>
                    <w:rPr>
                      <w:rFonts w:ascii="仿宋_GB2312" w:hAnsi="仿宋_GB2312" w:cs="仿宋_GB2312" w:eastAsia="仿宋_GB2312"/>
                      <w:sz w:val="21"/>
                      <w:color w:val="000000"/>
                    </w:rPr>
                    <w:t>应提供数据有效性检验功能，保证通过人机接口输入或通过通信接口输入的内容符合系统设定要求。</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w:t>
                  </w:r>
                  <w:r>
                    <w:rPr>
                      <w:rFonts w:ascii="仿宋_GB2312" w:hAnsi="仿宋_GB2312" w:cs="仿宋_GB2312" w:eastAsia="仿宋_GB2312"/>
                      <w:sz w:val="21"/>
                      <w:color w:val="000000"/>
                    </w:rPr>
                    <w:t>应能发现可能存在的已知漏洞，并在经过充分测试评估后，及时修补漏洞。</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恶意代码防范</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应安装方恶意代码软件或配置具有相应功能的软件，并及时更新防恶意代码软件版本和恶意代码库。</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可基于可信根对计算设备的系统引导程序、系统程</w:t>
                  </w:r>
                  <w:r>
                    <w:rPr>
                      <w:rFonts w:ascii="仿宋_GB2312" w:hAnsi="仿宋_GB2312" w:cs="仿宋_GB2312" w:eastAsia="仿宋_GB2312"/>
                      <w:sz w:val="21"/>
                    </w:rPr>
                    <w:t xml:space="preserve"> </w:t>
                  </w:r>
                  <w:r>
                    <w:rPr>
                      <w:rFonts w:ascii="仿宋_GB2312" w:hAnsi="仿宋_GB2312" w:cs="仿宋_GB2312" w:eastAsia="仿宋_GB2312"/>
                      <w:sz w:val="21"/>
                      <w:color w:val="000000"/>
                    </w:rPr>
                    <w:t>序、重要配置参数和通信应用程序等进行可信验证，</w:t>
                  </w:r>
                  <w:r>
                    <w:rPr>
                      <w:rFonts w:ascii="仿宋_GB2312" w:hAnsi="仿宋_GB2312" w:cs="仿宋_GB2312" w:eastAsia="仿宋_GB2312"/>
                      <w:sz w:val="21"/>
                    </w:rPr>
                    <w:t xml:space="preserve"> </w:t>
                  </w:r>
                  <w:r>
                    <w:rPr>
                      <w:rFonts w:ascii="仿宋_GB2312" w:hAnsi="仿宋_GB2312" w:cs="仿宋_GB2312" w:eastAsia="仿宋_GB2312"/>
                      <w:sz w:val="21"/>
                      <w:color w:val="000000"/>
                    </w:rPr>
                    <w:t>并在检测到其可信性受到破坏后进行报警，并将验证结果形成审计记录送至安全管理中心。</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数据完整性</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应采用校验技术保证重要数据在传输过程中的完整性。</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数据备份和恢复</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a)应提供重要数据的本地数据备份与恢复功能；</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应提供异地数据备份功能，利用通信网络将重要数据定时批量传送至备用场地。</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剩余信息保护</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应保证鉴别信息所在的存储空间被释放或重新分配前得到完全清除。</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个人信息保护</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a)应仅采集和保存业务必需的用户个人信息；</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b)应禁止未授权访问和非法使用用户个人信息。</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安全管理中</w:t>
                  </w:r>
                  <w:r>
                    <w:rPr>
                      <w:rFonts w:ascii="仿宋_GB2312" w:hAnsi="仿宋_GB2312" w:cs="仿宋_GB2312" w:eastAsia="仿宋_GB2312"/>
                      <w:sz w:val="21"/>
                    </w:rPr>
                    <w:t>心</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应对系统管理员进行身份鉴别，只允许其通过特定</w:t>
                  </w:r>
                  <w:r>
                    <w:rPr>
                      <w:rFonts w:ascii="仿宋_GB2312" w:hAnsi="仿宋_GB2312" w:cs="仿宋_GB2312" w:eastAsia="仿宋_GB2312"/>
                      <w:sz w:val="21"/>
                    </w:rPr>
                    <w:t xml:space="preserve"> </w:t>
                  </w:r>
                  <w:r>
                    <w:rPr>
                      <w:rFonts w:ascii="仿宋_GB2312" w:hAnsi="仿宋_GB2312" w:cs="仿宋_GB2312" w:eastAsia="仿宋_GB2312"/>
                      <w:sz w:val="21"/>
                      <w:color w:val="000000"/>
                    </w:rPr>
                    <w:t>的命令或操作界面进行系统管理操作，并对这些操作进行审计；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）应通过系统管理员对系统的资源和运行进行配置、控制和管理，包括用户身份、资源配置、系统加</w:t>
                  </w:r>
                  <w:r>
                    <w:rPr>
                      <w:rFonts w:ascii="仿宋_GB2312" w:hAnsi="仿宋_GB2312" w:cs="仿宋_GB2312" w:eastAsia="仿宋_GB2312"/>
                      <w:sz w:val="21"/>
                    </w:rPr>
                    <w:t xml:space="preserve"> </w:t>
                  </w:r>
                  <w:r>
                    <w:rPr>
                      <w:rFonts w:ascii="仿宋_GB2312" w:hAnsi="仿宋_GB2312" w:cs="仿宋_GB2312" w:eastAsia="仿宋_GB2312"/>
                      <w:sz w:val="21"/>
                      <w:color w:val="000000"/>
                    </w:rPr>
                    <w:t>载和启动、系统运行的异常处理、数据和设备的备份与恢复等。</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审计管理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a) </w:t>
                  </w:r>
                  <w:r>
                    <w:rPr>
                      <w:rFonts w:ascii="仿宋_GB2312" w:hAnsi="仿宋_GB2312" w:cs="仿宋_GB2312" w:eastAsia="仿宋_GB2312"/>
                      <w:sz w:val="21"/>
                      <w:color w:val="000000"/>
                    </w:rPr>
                    <w:t>应对安全审计员进行身份鉴别，只允许通过特定的命令或操作界面进行安全审计操作，并对这些操作进行审计；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应通过安全审计员对审计记录进行分析，并根据分析结果进行处理，包括根据安全审计策略对审计记录进行存储、管理和查询。</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安全管理制</w:t>
                  </w:r>
                  <w:r>
                    <w:rPr>
                      <w:rFonts w:ascii="仿宋_GB2312" w:hAnsi="仿宋_GB2312" w:cs="仿宋_GB2312" w:eastAsia="仿宋_GB2312"/>
                      <w:sz w:val="21"/>
                    </w:rPr>
                    <w:t>度</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安全策略</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）应制定网络安全工作的总体方针和安全策略，阐明机构安全工作的总体目标、范围、原则和安全框架等。</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管理制度</w:t>
                  </w:r>
                </w:p>
              </w:tc>
              <w:tc>
                <w:tcPr>
                  <w:tcW w:type="dxa" w:w="18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）应对安全管理活动中的主要管理内容建立安全管理制度；</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）应对管理人员或操作人员执行的日常管理操作建立操作规程。</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制定和发布</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）应指定或授权专门的部门或人员负责安全管理制度的制定；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）安全管理制度应通过正式、有效的方式发布，并进行版本控制。</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评审和修订</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）应定期对安全管理制度的合理性和适用性进行论证和审定，对存在不足需要改进的安全管理制度进行修订。</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安全管理机</w:t>
                  </w:r>
                  <w:r>
                    <w:rPr>
                      <w:rFonts w:ascii="仿宋_GB2312" w:hAnsi="仿宋_GB2312" w:cs="仿宋_GB2312" w:eastAsia="仿宋_GB2312"/>
                      <w:sz w:val="21"/>
                    </w:rPr>
                    <w:t>构</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岗位设置</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）应设立网络安全管理工作的职能部门，设立安全主管、安全管理各个方面的负责人岗位，并定义各负责人的职责；</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）应设立系统管理员、审计管理员和安全管理员等岗位，并定义部门及各个工作岗位的职责。</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人员配备</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）应配备一定数量的系统管理员、审计管理员、安全管理员等。</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授权和审批</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）应根据各个部门和岗位的职责明确授权审批事项、审批部门和批准人等；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）应针对系统变更、重要操作、物理访问和系统接入等事项执行审批过程。</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沟通和合作</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）应加强各类管理人员、组织内部机构和网络安全管理部门之间的合作与沟通，定期召开协调会议，共同协作处理信息安全问题；</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）应加强与网络安全职能部门、各类供应商、业界专家及安全组织的合作与沟通；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）应建立外联单位联系列表，包括外联单位名称、合作内容、联系人和联系方式等信息。</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审核和检查</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）应定期进行常规安全检查，检查内容包括系统日常运行、系统漏洞和数据备份等情况。</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安全管理人</w:t>
                  </w:r>
                  <w:r>
                    <w:rPr>
                      <w:rFonts w:ascii="仿宋_GB2312" w:hAnsi="仿宋_GB2312" w:cs="仿宋_GB2312" w:eastAsia="仿宋_GB2312"/>
                      <w:sz w:val="21"/>
                    </w:rPr>
                    <w:t>员</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人员录用</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a）应指定或授权专门的部门或人员负责人员录用；</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）应对被录用人的身份、安全背景、专业资格或资质等进行审查。</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人员离岗</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）应及时终止离岗人员的所有访问权限，取回各种</w:t>
                  </w:r>
                  <w:r>
                    <w:rPr>
                      <w:rFonts w:ascii="仿宋_GB2312" w:hAnsi="仿宋_GB2312" w:cs="仿宋_GB2312" w:eastAsia="仿宋_GB2312"/>
                      <w:sz w:val="21"/>
                    </w:rPr>
                    <w:t xml:space="preserve"> </w:t>
                  </w:r>
                  <w:r>
                    <w:rPr>
                      <w:rFonts w:ascii="仿宋_GB2312" w:hAnsi="仿宋_GB2312" w:cs="仿宋_GB2312" w:eastAsia="仿宋_GB2312"/>
                      <w:sz w:val="21"/>
                      <w:color w:val="000000"/>
                    </w:rPr>
                    <w:t>身份证件、钥匙、徽章等以及机构提供的软硬件设备。</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安全意识教育和培训</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）应对各类人员进行安全意识教育和岗位技能培训，并告知相关的安全责任和惩戒措施。</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外部人员访问管理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）应在外部人员物理访问受控区域前先提出书面申请，批准后由专人全程陪同，并登记备案；</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）应在外部人员接入受控网络访问系统前先提出书面申请，批准后由专人开设账户，分配权限，并登记备案；</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c）外部人员离场后应及时清除其所有的访问权限。</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安全建设管</w:t>
                  </w:r>
                  <w:r>
                    <w:rPr>
                      <w:rFonts w:ascii="仿宋_GB2312" w:hAnsi="仿宋_GB2312" w:cs="仿宋_GB2312" w:eastAsia="仿宋_GB2312"/>
                      <w:sz w:val="21"/>
                    </w:rPr>
                    <w:t>理</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定级和备案</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）应以书面的形式说明保护对象的安全保护等级及确定安全保护等级的方法和理由；</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）应组织相关部门和有关安全技术专家对信息系统定级结果的合理性和正确性进行论证和审定；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c）应保证定级结果经过相关部门的批准；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d)应将备案材料报主管部门和公安机关备案。</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安全方案设计</w:t>
                  </w:r>
                </w:p>
              </w:tc>
              <w:tc>
                <w:tcPr>
                  <w:tcW w:type="dxa" w:w="18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）应根据安全保护等级选择基本安全措施，依据风险分析的结果补充和调整安全措施；</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）应根据保护对象的安全保护等级进行安全方案设计；</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）应组织相关部门和有关安全专家对安全方案的合理性和正确性进行论证和审定，经过批准后才能正式实施。</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产品采购和使用</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）应确保网络安全产品的采购和使用符合国家的有关规定；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）应确保密码产品与服务的采购和使用符合国家密码主管部门的要求。</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自行软件开发</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）应将开发环境与实际运行环境物理分开，测试数据和测试结果受到控制；</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）应在软件开发过程中对安全性进行测试，在软件安装前对可能存在的恶意代码进行检测。</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外包软件开发</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a）应在软件交付前检测其中可能存在的恶意代码；</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b）应保证开发单位提供软件设计文档和使用指南。</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工程实施</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）应指定或授权专门的部门或人员负责工程实施过程的管理；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b）应制定安全工程实施方案控制工程实施过程。</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测试验收</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）应制订测试验收方案，并依据测试验收方案实施测试验收，形成测试验收报告；</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）应进行上线前的安全性测试，并出具安全测试报告。</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系统交付</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）应制定交付清单，并根据交付清单对所交接的设备、软件和文档等进行清点；</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）应对负责系统运行维护的技术人员进行相应的技能培训；</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c）应提供系统建设过程文档和运行维护文档。</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等级测评</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）应定期进行等级测评，发现不符合相应等级保护标准要求的及时整改；</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b）在发生重大变更或级别发生时进行等级测评；</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c）应确保测评机构的选择符合国家相关规定。</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服务供应商管理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a）应确保服务供应商的选择符合国家的有关标准；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b）应与选定的服务供应商签订相关协议，明确整个服务供应链各方需履行的网络安全相关义务。</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安全运维管理</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）应指定专门的部门或人员负责机房安全，对机房出入进行管理，</w:t>
                  </w:r>
                  <w:r>
                    <w:rPr>
                      <w:rFonts w:ascii="仿宋_GB2312" w:hAnsi="仿宋_GB2312" w:cs="仿宋_GB2312" w:eastAsia="仿宋_GB2312"/>
                      <w:sz w:val="21"/>
                    </w:rPr>
                    <w:t xml:space="preserve"> </w:t>
                  </w:r>
                  <w:r>
                    <w:rPr>
                      <w:rFonts w:ascii="仿宋_GB2312" w:hAnsi="仿宋_GB2312" w:cs="仿宋_GB2312" w:eastAsia="仿宋_GB2312"/>
                      <w:sz w:val="21"/>
                      <w:color w:val="000000"/>
                    </w:rPr>
                    <w:t>定期对机房供配电、空调、温湿度控制、消防等设施进行维护管理；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）应对机房的安全管理作出规定，包括物理访问，物品进出和环境安全等；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）应不在重要区域接待来访人员，不随意放置包含敏感信息的纸质文件和移动介质等。</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资产管理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）应编制并保存与保护对象相关的资产清单，包括资产责任部门、重要程度和所处位置等内容。</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介质管理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）应确保介质存放在安全的环境中，对各类介质进行控制和保护，</w:t>
                  </w:r>
                  <w:r>
                    <w:rPr>
                      <w:rFonts w:ascii="仿宋_GB2312" w:hAnsi="仿宋_GB2312" w:cs="仿宋_GB2312" w:eastAsia="仿宋_GB2312"/>
                      <w:sz w:val="21"/>
                    </w:rPr>
                    <w:t xml:space="preserve"> </w:t>
                  </w:r>
                  <w:r>
                    <w:rPr>
                      <w:rFonts w:ascii="仿宋_GB2312" w:hAnsi="仿宋_GB2312" w:cs="仿宋_GB2312" w:eastAsia="仿宋_GB2312"/>
                      <w:sz w:val="21"/>
                      <w:color w:val="000000"/>
                    </w:rPr>
                    <w:t>实行存储环境专人管理并根据存档介质的目录清单定期盘点；</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）应对介质在物理传输过程中的人员选择、打包、交付等情况进行控制，对介质归档和查询等进行登记记录。</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设备维护管理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）应对各种设备（包括备份和冗余设备）、线路等指定专门的部门或人员定期进行维护管理；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）应对配套设施、软硬件维护管理作出规定，包括明确维护人员的责任、维修和服务的审批、维修过程的监督控制等。</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漏洞和风险管理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）应采取必要的措施识别安全漏洞和隐患，对发现的安全漏洞和隐患及时进行修补或评估可能的影响后进行修补。</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网络和系统安全管理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）应划分不同的管理员角色进行网络和系统的运维管理，明确各个角色的责任和权限；</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）应指定专门的部门或人员进行账户管理，对账户申请，建立账户、删除账户等进行控制；</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）应建立网络和系统安全管理制度，对安全策略、账户管理、配置管理、日志管理、日常操作、升级与打补丁、口令更新周期等方面作出规定；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w:t>
                  </w:r>
                  <w:r>
                    <w:rPr>
                      <w:rFonts w:ascii="仿宋_GB2312" w:hAnsi="仿宋_GB2312" w:cs="仿宋_GB2312" w:eastAsia="仿宋_GB2312"/>
                      <w:sz w:val="21"/>
                      <w:color w:val="000000"/>
                    </w:rPr>
                    <w:t>）应制定重要设备的配置和操作手册，依据操作手册对设备进行安全配置和优化配置等；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w:t>
                  </w:r>
                  <w:r>
                    <w:rPr>
                      <w:rFonts w:ascii="仿宋_GB2312" w:hAnsi="仿宋_GB2312" w:cs="仿宋_GB2312" w:eastAsia="仿宋_GB2312"/>
                      <w:sz w:val="21"/>
                      <w:color w:val="000000"/>
                    </w:rPr>
                    <w:t>）应详细记录运维操作日志，包括日常巡检工作，运行维护记录、参数的设置和修改的内容。</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恶意代码防范管理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）应提高所有用户的防恶意代码意识，对外来计算机或存储设备接入系统前进行恶意代码检查等；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）应对防恶意代码防范要求作出规定，包括防恶意代码软件的授权使用、恶意代码库升级、恶意代码的定期查杀等；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）应定期检查恶意代码库的升级情况，对截获的恶意代码进行及时分析处理。</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）应记录和保存基本配置信息，包括网络拓扑结构、各个设备安装的软件组件、软件组件的版本和补丁信息、各个设备或软件组件的配置参数等。</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密码管理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a）应遵循密码相关的国家标准和行业标准；</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）应使用国家密码管理局认证核准的密码技术和产品。</w:t>
                  </w:r>
                </w:p>
              </w:tc>
            </w:tr>
            <w:tr>
              <w:tc>
                <w:tcPr>
                  <w:tcW w:type="dxa" w:w="274"/>
                  <w:vMerge/>
                  <w:tcBorders>
                    <w:top w:val="none" w:color="000000" w:sz="4"/>
                    <w:left w:val="singl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变更管理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）应明确认变更需求，变更前根据变更需求制定变更方案、变更方案经过评审、审批后方可实施。</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备份与恢复管理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）应识别需要定期备份的重要业务信息、系统数据及软件系统等；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）应规定备份信息的备份方式、备份频度、存储介质和保存期等；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）应根据数据的重要性和数据对系统运行的影响，制定数据的备份策略和恢复策略，备份程序和恢复程序。</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安全事件处置</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）应及时向安全管理部门报告所发现的安全弱点和可疑事件；</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）应制定安全事件报告和处置管理制度，明确不同安全事件的报告、处置和响应流程，规定安全事件的现场处理、事件报告和后期恢复的管理职责等；</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w:t>
                  </w:r>
                  <w:r>
                    <w:rPr>
                      <w:rFonts w:ascii="仿宋_GB2312" w:hAnsi="仿宋_GB2312" w:cs="仿宋_GB2312" w:eastAsia="仿宋_GB2312"/>
                      <w:sz w:val="21"/>
                      <w:color w:val="000000"/>
                    </w:rPr>
                    <w:t>）应在安全事件和响应处理过程中，分析和鉴定事件产生的原因，</w:t>
                  </w:r>
                  <w:r>
                    <w:rPr>
                      <w:rFonts w:ascii="仿宋_GB2312" w:hAnsi="仿宋_GB2312" w:cs="仿宋_GB2312" w:eastAsia="仿宋_GB2312"/>
                      <w:sz w:val="21"/>
                    </w:rPr>
                    <w:t xml:space="preserve"> </w:t>
                  </w:r>
                  <w:r>
                    <w:rPr>
                      <w:rFonts w:ascii="仿宋_GB2312" w:hAnsi="仿宋_GB2312" w:cs="仿宋_GB2312" w:eastAsia="仿宋_GB2312"/>
                      <w:sz w:val="21"/>
                      <w:color w:val="000000"/>
                    </w:rPr>
                    <w:t>收集证据，记录处理过程，总结经验教训。</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应急预案管理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）应制定重要事件的应急预案，包括应急处理流程、系统恢复流程等内容；</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）应定期对系统相关的人员进行应急预案培训，并进行应急预案的演练。</w:t>
                  </w:r>
                </w:p>
              </w:tc>
            </w:tr>
            <w:tr>
              <w:tc>
                <w:tcPr>
                  <w:tcW w:type="dxa" w:w="274"/>
                  <w:vMerge/>
                  <w:tcBorders>
                    <w:top w:val="none" w:color="000000" w:sz="4"/>
                    <w:left w:val="single" w:color="000000" w:sz="4"/>
                    <w:bottom w:val="single" w:color="000000" w:sz="4"/>
                    <w:right w:val="single" w:color="000000" w:sz="4"/>
                  </w:tcBorders>
                </w:tcP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外包运维管理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color w:val="000000"/>
                    </w:rPr>
                    <w:t>）应确保外包运维</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的选择符合国家有关规定；</w:t>
                  </w:r>
                </w:p>
              </w:tc>
            </w:tr>
            <w:tr>
              <w:tc>
                <w:tcPr>
                  <w:tcW w:type="dxa" w:w="274"/>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color w:val="000000"/>
                    </w:rPr>
                    <w:t>）应与选定的外包运维</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签订相关的协议，明确约定外包运维的范围、工作内容。</w:t>
                  </w:r>
                </w:p>
              </w:tc>
            </w:tr>
          </w:tbl>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.3.2</w:t>
            </w:r>
            <w:r>
              <w:rPr>
                <w:rFonts w:ascii="仿宋_GB2312" w:hAnsi="仿宋_GB2312" w:cs="仿宋_GB2312" w:eastAsia="仿宋_GB2312"/>
                <w:sz w:val="21"/>
                <w:b/>
              </w:rPr>
              <w:t>三级要求指标</w:t>
            </w:r>
          </w:p>
          <w:tbl>
            <w:tblPr>
              <w:tblInd w:type="dxa" w:w="120"/>
              <w:tblBorders>
                <w:top w:val="none" w:color="000000" w:sz="4"/>
                <w:left w:val="none" w:color="000000" w:sz="4"/>
                <w:bottom w:val="none" w:color="000000" w:sz="4"/>
                <w:right w:val="none" w:color="000000" w:sz="4"/>
                <w:insideH w:val="none"/>
                <w:insideV w:val="none"/>
              </w:tblBorders>
            </w:tblPr>
            <w:tblGrid>
              <w:gridCol w:w="272"/>
              <w:gridCol w:w="375"/>
              <w:gridCol w:w="1906"/>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安全层面</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安全控制点</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测评指标（</w:t>
                  </w:r>
                  <w:r>
                    <w:rPr>
                      <w:rFonts w:ascii="仿宋_GB2312" w:hAnsi="仿宋_GB2312" w:cs="仿宋_GB2312" w:eastAsia="仿宋_GB2312"/>
                      <w:sz w:val="21"/>
                      <w:b/>
                    </w:rPr>
                    <w:t>2.0）</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安全物理</w:t>
                  </w:r>
                  <w:r>
                    <w:rPr>
                      <w:rFonts w:ascii="仿宋_GB2312" w:hAnsi="仿宋_GB2312" w:cs="仿宋_GB2312" w:eastAsia="仿宋_GB2312"/>
                      <w:sz w:val="21"/>
                    </w:rPr>
                    <w:t>环境</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物理位置选择</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a)机房和办公场地应选择在具有防震、防风和防雨等能力的建筑内；</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b)机房场地应避免设在建筑物的高层或地下室，否则应加强防水和防潮措施。</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物理访问控制</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a)机房出入口应配置电子门禁系统，控制、鉴别和记录进入的人员。</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防盗窃和防破坏</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a)应将设备或主要部件进行固定，并设置明显的不易除去的标识；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b)应将通信线缆铺设在隐蔽安全处；</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c)应设置机房防盗报警系统或设置有专人值守的视频监测控制系统。</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防雷击</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a)应将各类机柜、设施和设备等通过接地系统安全接地；</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b)应采取措施防止感应雷，例如设置防雷保安器或过压保护装置等。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a)机房应设置火灾自动消防系统，能够自动检测火 情、自动报警， 并自动灭火；</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b)机房及相关的工作房间和辅助房应采用具有耐火等级的建筑材料；</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c)应对机房划分区域进行管理，区域和区域之间设置隔离防火措施。</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防水防潮</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a)应采取措施防止雨水通过机房窗户、屋顶和墙壁渗透；</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b)应采取措施防止机房内水蒸气结露和地下积水的转移与渗透；</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c)应安装对水敏感的检测仪表或元件，对机房进行防水检测和报警。</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防静电</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a)应采用防静电地板或地面并采用必要的接地防静电措施；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b)应采取措施防止静电的产生，例如采用静电消除器、佩戴防静电手环等。</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温湿度控制</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a)应设置温湿度自动调节设施，使机房温湿度的变化在设备运行所允许的范围之内。</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电力供应</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a)应在机房供电线路上配置稳压器和过电压防护设备；</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b)应提供短期的备用电力供应，至少满足设备在断电情况下的正常运行要求；</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c)应设置冗余或并行的电力电缆线路为计算机系统供电。</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电磁防护</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a)电源线和通信线缆应隔离铺设，避免互相干扰；</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b)应对关键设备实施电磁屏蔽。</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安全通信</w:t>
                  </w:r>
                  <w:r>
                    <w:rPr>
                      <w:rFonts w:ascii="仿宋_GB2312" w:hAnsi="仿宋_GB2312" w:cs="仿宋_GB2312" w:eastAsia="仿宋_GB2312"/>
                      <w:sz w:val="21"/>
                    </w:rPr>
                    <w:t>网络</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网络架构</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a)应保证网络设备的业务处理能力满足业务高峰期需要；</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b)应保证网络各个部分的带宽满足业务高峰期需要；</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c)应划分不同的网络区域，并按照方便管理和控制的原则为各网络区域分配地址；</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d)应避免将重要网络区域部署在边界处，重要网络区域与其他网络区域之间应采取可靠的技术隔离手 段；</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e)应提供通信线路、关键网络设备和关键计算设备的硬件冗余，保证系统的可用性。</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通信传输</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a)应采用校验技术或密码技术保证通信过程中数据的完整性；</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b)应采用密码技术保证通信过程中数据的保密性。</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9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a)可基于可信根对通信设备的系统引导程序、系统 程序、重要配置参数和通信应用程序等进行可信验证，并在应用程序的关键执行环节进行动态可信验证，在监测到其可信性受到破坏后进行报警，并将 验证结果形成审计记录送至安全管理中心。</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安全区域</w:t>
                  </w:r>
                  <w:r>
                    <w:rPr>
                      <w:rFonts w:ascii="仿宋_GB2312" w:hAnsi="仿宋_GB2312" w:cs="仿宋_GB2312" w:eastAsia="仿宋_GB2312"/>
                      <w:sz w:val="21"/>
                    </w:rPr>
                    <w:t>边界</w:t>
                  </w:r>
                </w:p>
              </w:tc>
              <w:tc>
                <w:tcPr>
                  <w:tcW w:type="dxa" w:w="3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边界防护</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a)应保证跨越边界的访问和数据流通过边界设备提供的受控接口进行通信；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singl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b)应能够对非授权设备私自联到内部网络的行为进行检测或限制；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singl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c)应能够对内部用户非授权联到外部网络的行为进行检查或限制；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singl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d)应限制无线网络的使用，保证无线网络通过受控的边界设备接入内部网络。</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访问控制</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a)应在网络边界或区域之间根据访问控制策略设置访问控制规则， 默认情况下除允许通信外受控接口拒绝所有通信；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b)应删除多余或无效的控制规则，优化访问控制列表，并保证访问控制规则数量最小化；</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c)应对源地址、目的地址、源端口、目的端口和协议等进行检查， 以允许/拒绝数据包进出；</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d)应能根据会话状态信息为进出数据流提供明确的允许/拒绝访问的能力；</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e)应对进出网络的数据流实现基于应用协议和应用内容的访问控制。</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入侵防范</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a)应在关键网络节点处检测、防止或限制从外部发起的网络攻击行为；</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b)应在关键网络节点处检测、防止或限制从内部发起的网络攻击行为；</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c)应采取技术措施对网络行为进行分析，实现对网络攻击特别是新型网络攻击行为的分析；</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d)当检测到攻击行为时，记录攻击源IP</w:t>
                  </w:r>
                  <w:r>
                    <w:rPr>
                      <w:rFonts w:ascii="仿宋_GB2312" w:hAnsi="仿宋_GB2312" w:cs="仿宋_GB2312" w:eastAsia="仿宋_GB2312"/>
                      <w:sz w:val="21"/>
                    </w:rPr>
                    <w:t>、</w:t>
                  </w:r>
                  <w:r>
                    <w:rPr>
                      <w:rFonts w:ascii="仿宋_GB2312" w:hAnsi="仿宋_GB2312" w:cs="仿宋_GB2312" w:eastAsia="仿宋_GB2312"/>
                      <w:sz w:val="21"/>
                    </w:rPr>
                    <w:t>攻击类型、攻击目的、攻击时间，在发生严重入侵事件时应提供报警。</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恶意代码和垃圾邮件</w:t>
                  </w:r>
                  <w:r>
                    <w:rPr>
                      <w:rFonts w:ascii="仿宋_GB2312" w:hAnsi="仿宋_GB2312" w:cs="仿宋_GB2312" w:eastAsia="仿宋_GB2312"/>
                      <w:sz w:val="21"/>
                    </w:rPr>
                    <w:t>防范</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a)应在关键网络节点处对恶意代码进行检测和清除，并维护恶意代码防护机制的升级和更新；</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b)应在关键网络节点处对垃圾邮件进行检测和防护，并维护垃圾邮件防护机制的升级和更新。</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安全审计</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a)应在网络边界，重要网络节点进行安全审计，审计覆盖到每个用户，对重要的用户行为和重要安全事件进行审计；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b)审计记录应包括事件的日期、用户、事件类型、事件是否成功及其他与审计相关的信息；</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c)应对审计记录进行保护，定期备份，避免受到未预期的删除、修改或覆盖等；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d)应能对远程访问的用户行为、访问互联网的用户行为等单独进行行为审计和数据分析。</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a)可基于可信根对边界设备的系统引导程序、系统 程序、重要配置参数和边界防护应用程序等进行可信验证，并在应用程序的关键执行环节进行动态可信验证，在检测到其可信性受到破坏后进行报警， 并将验证结果形成审计记录送至安全管理中心。</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安全计算</w:t>
                  </w:r>
                  <w:r>
                    <w:rPr>
                      <w:rFonts w:ascii="仿宋_GB2312" w:hAnsi="仿宋_GB2312" w:cs="仿宋_GB2312" w:eastAsia="仿宋_GB2312"/>
                      <w:sz w:val="21"/>
                    </w:rPr>
                    <w:t>环境</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身份鉴别</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a)应对登录的用户进行身份标识和鉴别，身份标识具有唯一性，身份鉴别信息具有复杂度要求并定期更换；</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b)应启用登陆失败处理功能，应配置并启用结束会话、限制非法登录次数和当登录连接超时时自动退出等相关措施；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c)当进行远程管理时，应采取必要措施防止鉴别信息在网络传输过程中被窃听；</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d)应采用口令、密码技术、生物技术等两种或两种以上组合的鉴别技术对用户进行身份鉴别，且其中一种鉴别技术至少应使用密码技术实现。</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访问控制</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应对登录的用户分配账户和权限；</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b)应重命名或删除默认账户，修改默认账户的默认口令；</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c)应及时删除或停用多余的，过期的账户，避免共享账户的存在；</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d)应授予管理用户所需的最小权限，实现管理用户的权限分离；</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e）应由授权主体配置访问控制策略，访问控制策略规定主体对客体的访问规则；</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f)访问控制的粒度应达到主体为用户级或进程级，客体为文件、数据库表级；</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g)应对重要主体和客体设置安全标记，并控制主体对有安全标记信息资源的访问。</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安全审计</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a)应启用安全审计功能，审计覆盖到每个用户，对重要的用户行为和重要安全事件进行审计；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b)审计记录应包括事件的日期、时间、事件类 型、事件是否成功及其他与审计相关的工作；</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c)应对审计记录进行保护， 定期备份、避免受到未预期的删除、修改或覆盖等；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d)应对审计进程进行保护，防止未经授权的中断。</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入侵防范</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a)应遵循最小安装的原则，仅安装需要的组件和应用程序；</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应关闭不需要的系统服务、默认共享和高危端口；</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c)应通过设定终端接入方式或网络地址范围对 通过网络进行管理的管理终端进行限制；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d）应提供数据有效性检验功能，保证通过人机接口输入或通过通信接口输入的内容符合系统设定要求。</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e)应能发现可能存在的已知漏洞，并在经过充分测试评估后，及时修补漏洞；</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f)应能检测到对重要节点进行入侵的行为，并在发生严重入侵事件时提供报警。</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恶意代码防范</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a)应采用免受恶意代码攻击的技术措施， 或主动免疫可信验证机制及时识别入侵和病毒行为，并将其有效阻断。</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可信验证</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a)可基于可信根对计算设备的系统引导程序、系统程序、重要配置参数和通信应用程序等进行可信验证，并在应用程序的关键执行环节进行动态可 信验证，在检测到其可信性受到破坏后进行报警，并将验证结果形成审计记录送至安全管理中心。</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数据完整性</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a)应采用校验技术或密码技术保证重要数据在 传输过程中的完整性，包括但不限于数据鉴别、重要业务数据、重要审计数据、重要配置数据、重要视频数据和重要个人信息等；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b)应采用校验技术或密码技术保证重要数据在存储过程中的完整性，包括但不限于数据鉴别、重要业务数据、重要审计数据、重要配置数据、重要视频数据和重要个人信息等。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数据保密性</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a)应采用密码技术保证重要数据在传输过程中的保密性，包括但不限于数据鉴别、重要业务数据和重要个人信息等；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b)应采用密码技术保证重要数据在存储过程中的保密性，包括但不限于数据鉴别、重要业务数据和重要个人信息等。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数据备份和恢复</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应提供重要数据的本地数据备份与恢复功能；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b)应提供异地实时备份功能，利用通信网络将重要数据实时备份至备用场地；</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c)应提供重要数据处理系统的热冗余，保证系统的高可用性。</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剩余信息保护</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a)应保证鉴别信息所在的存储空间被释放或重新分配前得到完全清除；</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b)应保证存有敏感数据的存储空间被释放或重新分配前得到完全清除。</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个人信息保护</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应仅采集和保存业务必需的用户个人信息；</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应禁止未授权访问和非法使用用户个人信息。</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r>
                    <w:rPr>
                      <w:rFonts w:ascii="仿宋_GB2312" w:hAnsi="仿宋_GB2312" w:cs="仿宋_GB2312" w:eastAsia="仿宋_GB2312"/>
                      <w:sz w:val="21"/>
                    </w:rPr>
                    <w:t>中心</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系统管理</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a)应对系统管理员进行身份鉴别，只允许其通过特 定的命令或操作界面进行系统管理操作，并对这些 操作进行审计；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b）应通过系统管理员对系统的资源和运行进行配置、控制和管理，包括用户身份，系统资源配置、系统加载和启动、系统运行的异常处理、数据和设备的备份与恢复等。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审计管理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 应对审计管理员进行身份鉴别，只允许其通过特定的命令或操作界面进行安全审计操作，并对这些操作进行审计；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b)应通过审计管理员对审计记录进行分析，并根据分析结果进行处理，包括根据安全审计策略对审计记录进行存储、管理和查询。</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 应对安全管理员进行身份鉴别，只允许通过特定的命令或操作界面进行安全管理操作，并对这些操作进行审计；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b)应通过安全管理员对系统中的安全策略进行配置，包括安全参数的设置，主体，客体进行统一安全标识，对主体进行授权，配置安全可信验证策略等。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集中管控</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 应划分特定的管理区域，对分布在网络中的安全设备或安全组件进行管控；</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b)应能够建立一条安全的信息传输路径，对网络中的安全设备或安全组件进行管理；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c）应对网络链路、安全设备、网络设备和服务器等的运行状况进行集中监测；</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d)应对分散在各个设备上的审计数据进行收集汇总和集中分析，并保证审计记录的留存时间符合法律法规要求；</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e）应对安全策略、安全代码、补丁升级等安全事项进行集中管理；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f）应能对网络中发生的各类安全事件进行识别报警和分析。</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r>
                    <w:rPr>
                      <w:rFonts w:ascii="仿宋_GB2312" w:hAnsi="仿宋_GB2312" w:cs="仿宋_GB2312" w:eastAsia="仿宋_GB2312"/>
                      <w:sz w:val="21"/>
                    </w:rPr>
                    <w:t>制度</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安全策略</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a）应制定网络安全工作的总体方针和安全策略，阐明机构安全工作的总体目标、范围、原则和安全框 架等。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管理制度</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a）应对安全管理活动中的各类管理内容建立安全管理制度;</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b）应对要求管理人员或操作人员执行的日常管理操作建立操作规程;</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c）应形成由安全策略，管理制度，操作规程，记录表单等构成安全管理制度体系。</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制定和发布</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a）应指定或授权专门的部门或人员负责安全管理制度的制定;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）安全管理制度应通过正式、有效的方式发布，并进行版本控制</w:t>
                  </w:r>
                  <w:r>
                    <w:rPr>
                      <w:rFonts w:ascii="仿宋_GB2312" w:hAnsi="仿宋_GB2312" w:cs="仿宋_GB2312" w:eastAsia="仿宋_GB2312"/>
                      <w:sz w:val="21"/>
                    </w:rPr>
                    <w:t>.</w:t>
                  </w:r>
                </w:p>
              </w:tc>
            </w:tr>
            <w:tr>
              <w:tc>
                <w:tcPr>
                  <w:tcW w:type="dxa" w:w="272"/>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评审和修订</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a）应定期对安全管理制度的合理性和适用性进行论证和审定，对存在不足或需要改进的安全管理制度进行修订。</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r>
                    <w:rPr>
                      <w:rFonts w:ascii="仿宋_GB2312" w:hAnsi="仿宋_GB2312" w:cs="仿宋_GB2312" w:eastAsia="仿宋_GB2312"/>
                      <w:sz w:val="21"/>
                    </w:rPr>
                    <w:t>机构</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岗位设置</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a）应成立指导和管理网络安全工作的委员会或领导小组，其最高领导由单位主管领导担任或授权；</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b）应设立网络安全管理工作的职能部门，设立安全主管、安全管理各个方面的负责人岗位，并定义各负责人的职责；</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c）应设立系统管理员、审计管理员、安全管理员等岗位，并定义部门及各个工作岗位的职责。</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人员配备</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a）应配备一定数量的系统管理员、审计管理员、安全管理员等；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b）应配备专职的安全管理员，不可兼任。</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授权和审批</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a）应根据各个部门和岗位的职责明确授权审批事项、审批部门和批准人等；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b）应针对系统变更、重要操作、物理访问和系统接入等事项建立审批程序，按照审批程序执行审批过程，对重要活动建立逐级审批制度；</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c）应定期审查审批事项，及时更新授权和审批的项目、审批部门和审批人等信息。</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沟通和合作</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a）应加强各类管理人员、组织内部机构和网络安全管理部门之间的合作与沟通，定期召开协调会议，共同协作处理网络安全问题。；</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b）应加强与网络安全职能部门、各类供应商、业界专家及安全组织的合作与沟通；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c）应建立外联单位联系列表，包括外联单位名称、合作内容、联系人和联系方式等信息。</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审核和检查</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a）应定期进行常规安全检查，检查内容包括系统日常运行、系统漏洞和数据备份等情况；</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b）应定期进行全面安全检查，检查内容包括现有安全技术措施的有效性、安全配置和安全策略的一致性，安全管理制度的执行情况等；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c）应制定安全检查表格实施安全检查，汇总安全检查数据，形成安全检查报告，并对安全检查结果进行通报。</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r>
                    <w:rPr>
                      <w:rFonts w:ascii="仿宋_GB2312" w:hAnsi="仿宋_GB2312" w:cs="仿宋_GB2312" w:eastAsia="仿宋_GB2312"/>
                      <w:sz w:val="21"/>
                    </w:rPr>
                    <w:t>人员</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人员录用</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a）应指定或授权专门的部门或人员负责人员录用 ;</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b）应对被录用人的身份、安全背景、专业资格或资质等进行审查， 对其所有的技术技能进行考核；</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c）应与被录用人员签署保密协议，与关键岗位人员签署岗位责任协议。</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人员离岗</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a）应及时终止离岗人员的所有访问权限，取回各种身份证件、钥匙、徽章等以及机构提供的软硬件设备；</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b）应办理严格的调离手续，并承诺调离后的保密义务方可离开。</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安全意识教育和培训</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a）应对各类人员进行安全意识教育和岗位技能培训，并告知相关的安全责任和惩戒措施；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b）应针对不同岗位制定不同的培训计划，对安全基础知识，岗位操作规程等进行培训；</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c）应定期对不同岗位的人员进行技能考核。</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外部人员访问管理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a）应在外部人员物理访问受控区域前先提出书面申请，批准后由专人全程陪同，并登记备案；</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b）应在外部人员接入受控网络访问系统前先提出书面申请，批准后由专人开设账户，分配权限，并登记备案；</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c）外部人员离场后应及时清除其所有的访问权限；</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d）获得系统访问授权的外部人员签署保密协议，不得进行非授权操作，不得复制和泄露敏感信息。</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安全建设</w:t>
                  </w:r>
                  <w:r>
                    <w:rPr>
                      <w:rFonts w:ascii="仿宋_GB2312" w:hAnsi="仿宋_GB2312" w:cs="仿宋_GB2312" w:eastAsia="仿宋_GB2312"/>
                      <w:sz w:val="21"/>
                    </w:rPr>
                    <w:t>管理</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定级和备案</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a）应以书面的形式说明保护对象的安全保护等级及确定安全保护等级的方法和理由；</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b）应组织相关部门和有关安全技术专家对定级结果的合理性和正确性进行论证和审定；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c）应保证定级结果经过相关部门的批准；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d)应将备案材料报主管部门和相应公安机关备案</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安全方案设计</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a）应根据安全保护等级选择基本安全措施，依据风险分析的结果补充和调整安全措施；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b）应根据保护对象的安全保护等级及与其他级别对象的关系进行安全整体规划和安全方案设计，设计内容应包含密码技术相关内容、并形成配套文件；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c）应组织相关部门和有关安全技术专家对整体安全规划及其配套文件的合理性和正确性进行论证和审定，经过批准后才能正式实施。</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产品采购和使用</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a）应确保网络安全产品采购和使用符合国家的有关规定；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b）应确保密码产品与服务的采购和使用符合国家密码管理主管部门的要求；</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c)应预先对产品进行选型测试，确定产品的候选范围，并定期审定和更新产品候选名单。</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自行软件开发</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a）应将开发环境与实际运行环境物理分开，测试数据和测试结果受到控制；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b）应制定软件开发管理制度，明确说明开发过程的控制方法和人员行为准则；</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c）应制定代码编写安全规范，要求开发人员参照规范编写代码；</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d）应具备软件设计的相关文档和使用指南，并对文档使用进行控制；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e）应保证在软件开发过程中对安全性进行测试，在软件安装前对可能存在的恶意代码进行检测；</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f）应对程序资源库的修改、更新，发布进行授权和批准，并严格进行版本控制；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g）应保证开发人员为专职人员，开发人员的开发活动受到控制，监视和审查。</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外包软件开发</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a）应在软件交付前检测其中可能存在的恶意代码；</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b）应保证开发单位提供软件设计文档和使用指南；</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c）应保证开发单位提供软件源代码，并审查软件中可能存在的后面和隐蔽信道。</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工程实施</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a）应指定或授权专门的部门或人员负责工程实施过程的管理；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b）应制定安全工程实施方案控制实施过程；</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c）应通过第三方工程监理控制项目的实施过程。</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测试验收</w:t>
                  </w:r>
                </w:p>
              </w:tc>
              <w:tc>
                <w:tcPr>
                  <w:tcW w:type="dxa" w:w="1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a）应制订测试验收方案，并依据测试验收方案实施测试验收，形成测试验收报告；</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vMerge/>
                  <w:tcBorders>
                    <w:top w:val="none" w:color="000000" w:sz="4"/>
                    <w:left w:val="none" w:color="000000" w:sz="4"/>
                    <w:bottom w:val="single" w:color="000000" w:sz="4"/>
                    <w:right w:val="single" w:color="000000" w:sz="4"/>
                  </w:tcBorders>
                </w:tcP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b）应进行上线前的安全性测试，并出具安全测试报告，安全测试报告应包含密码应用安全性安全测试内容。</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系统交付</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a）应制定交付清单，并根据交付清单对所交接的设备、软件和文档等进行清点；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b）应对负责系统运行维护的技术人员进行相应的技能培训；</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c）应提供建设过程文档和运行维护文档。</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等级测评</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a）应定期进行等级测评，发现不符合相应等级保护标准要求的及时整改；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b）在发生重大变化或级别发生时进行等级测评；</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c）应确保测评机构的选择符合国家相关规定。</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服务供应商管理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a）应确保服务供应商的选择符合国家的有关规定；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b）应与选定的</w:t>
                  </w:r>
                  <w:r>
                    <w:rPr>
                      <w:rFonts w:ascii="仿宋_GB2312" w:hAnsi="仿宋_GB2312" w:cs="仿宋_GB2312" w:eastAsia="仿宋_GB2312"/>
                      <w:sz w:val="21"/>
                    </w:rPr>
                    <w:t>供应商</w:t>
                  </w:r>
                  <w:r>
                    <w:rPr>
                      <w:rFonts w:ascii="仿宋_GB2312" w:hAnsi="仿宋_GB2312" w:cs="仿宋_GB2312" w:eastAsia="仿宋_GB2312"/>
                      <w:sz w:val="21"/>
                    </w:rPr>
                    <w:t>签订相关协议，明确整个服务供应链各方需履行的网络安全相关义务；</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c）应定期监督、评审和审核服务供应商提供的服务，并对其变更服务进行控制。</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安全运维</w:t>
                  </w:r>
                  <w:r>
                    <w:rPr>
                      <w:rFonts w:ascii="仿宋_GB2312" w:hAnsi="仿宋_GB2312" w:cs="仿宋_GB2312" w:eastAsia="仿宋_GB2312"/>
                      <w:sz w:val="21"/>
                    </w:rPr>
                    <w:t>管理</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a）应指定专门的部门或人员负责机房安全，对机房出入进行管理， 定期对机房供配电、空调、温湿度  控制、消防等设施进行维护管理；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b）应建立机房安全管理制度，对有关物理访问，物品带进带出和环境安全等方面的管理作出规定；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c）应不在重要区域接待来访人员，不随意放置包含敏感信息的纸质文件和移动介质。</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资产管理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a）应编制并保存与信息系统相关的资产清单，包括资产责任部门、重要程度和所处位置等内容；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b）应根据资产的重要程度对资产进行标识管理，根据资产的价值选择相应的管理措施；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c）应对信息分类与标识方法做出规定，并对信息的使用，传输和存储等进行规范化管理。</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介质管理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a）应将介质存放在安全的环境中，对各类介质进行控制和保护，实行存储环境专人管理并根据存档介质的目录清单定期盘点；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b）应对介质在物理传输过程中的人员选择、打包、交付等情况进行控制，并对介质归档和查询等进行登记记录。</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设备维护管理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a）应对各种设备（包括备份和冗余设备）、线路等指定专门的部门或人员定期进行维护管理；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b）应建立配套设施、软硬件维护方面的管理制度，对其维护进行有效的管理，包括明确维护人员的责任、维修和服务的审批、维修过程的监督控制等；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c）信息处理设备应经过审批才能带离机房或办公地点，含有储存介质的设备带出工作环境时其重要数据应加密；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d）含有存储介质的设备在报废或重用前，应进行完全清除或完全覆盖，保证该设备上的敏感数据和授权软件无法被恢复重用。</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漏洞和风险管理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a）应采取必要的措施识别安全漏洞和隐患，对发现 的安全漏洞和隐患及时进行修补或评估可能的影响  后进行修补；</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b)应定期开展安全测评，形成安全测评报告，采取措施应对发现的安全问题。</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网络和系统安全管理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a）应划分不同的管理员角色进行网络和系统的运维管理，明确各个角色的责任和权限；</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b）应指定专门的部门或人员进行账户管理，对申请账户，建立账户、删除账户等进行控制；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c）应建立网络和系统安全管理制度，对安全策略、账户管理、配置管理、日志管理、日常操作、升级 与打补丁、口令更新周期等方面作出规定；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d）应制定重要设备的配置和操作手册，依据手册对设备进行安全配置和优化配置等；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e）应详细记录运维操作日志，包括日常巡检工作，运行维护记录、参数的设置和修改的内容；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f）应指定专门的部门或人员对日志、监测和报警数据等进行分析、统计，及时发现可疑行为；</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g）应严格控制变更性运维，经过审批后才可改变连接，安装系统组件或调整配置参数，操作过程中应保留不可更改的审计日志，操作结束后应同步配置更新配置信息库；</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H）应严格控制运维工具的使用，经过审批后才可接入进行操作，操作过程中应保留不可更改的审计日志，操作结束后应删除工具中的敏感数据；</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i）应严格控制远程运维的开通，经过审批后才可开通远程运维接口或通道，操作过程中应保留不可更改的审计日志，操作结束后立即关闭接口或通道；</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j）应保证所有与外部的连接均得到授权和批准，应定期检查违反规定无线上网及其他违反网络安全策略行为。</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恶意代码防范管理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a）应提高所有用户的防恶意代码意识，对外来计算机或存储设备接入系统前进行恶意代码检查等；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b）应定期验证防范恶意代码攻击的技术措施的有效性。</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a）应记录和保存基本配置信息，包括网络拓扑结构、各类设备安装的软件组件、软件组件的版本和补丁信息、各个设备或软件组件的配置参数等；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b)应将基本信息改变纳入变更范畴，实施对配置信息改变的控制， 并及时更新基本配置信息库。</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密码管理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a）应遵循密码相关国家标准和行业标准；</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b）应使用国家密码管理主管部门认证核准的密码技术和产品。</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变更管理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a）应明确变更需求，变更前根据变更需求制定变更方案、变更方案经过评审、审批后方可实施；</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b）应建立变更的申报和审批控制程序，依据程序控制所有的变更， 记录变更实施过程；</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c）应建立终止变更并从失败的变更中恢复的程序，明确过程控制方法和人员职责，必要时对恢复过程进行演练。</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备份与恢复管理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a）应识别需要定期备份的重要业务信息、系统数据及软件系统等；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b）应规定备份信息的备份方式、备份频度、存储介质和保存期等；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c）应根据数据的重要性和数据对系统运行的影响，制定数据的备份策略和恢复策略，备份程序和恢复 程序等。</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安全事件处置</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a）应及时向安全管理部门报告所发现的安全弱点和可疑事件；</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b）应制定安全事件报告和处置管理制度，明确不同安全事件的报告、处置和响应流程，规定安全事件的现场处理、事件报告和后期恢复的管理职责等；</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c）应在安全事件和响应处理过程中，分析和鉴定事件产生的原因， 收集证据，记录处理过程，总结经验教训；</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D）对造成系统中断和造成信息泄露的重大安全事件应采用不同的处理程序和报告程序。</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应急预案管理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a)应规定统一的应急预案框架</w:t>
                  </w:r>
                  <w:r>
                    <w:rPr>
                      <w:rFonts w:ascii="仿宋_GB2312" w:hAnsi="仿宋_GB2312" w:cs="仿宋_GB2312" w:eastAsia="仿宋_GB2312"/>
                      <w:sz w:val="21"/>
                    </w:rPr>
                    <w:t>，</w:t>
                  </w:r>
                  <w:r>
                    <w:rPr>
                      <w:rFonts w:ascii="仿宋_GB2312" w:hAnsi="仿宋_GB2312" w:cs="仿宋_GB2312" w:eastAsia="仿宋_GB2312"/>
                      <w:sz w:val="21"/>
                    </w:rPr>
                    <w:t>包括启动预案的条件，应急组织构成，应急资源保障，事后教育和培训等内容；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b）应制定重要事件的应急预案，包括应急处理流程、系统恢复流程等内容；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c）应定期对系统相关的人员进行应急预案培训，并进行应急预案的演练；</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d)应定期对原有的应急预案重新评估，修订完善。</w:t>
                  </w:r>
                </w:p>
              </w:tc>
            </w:tr>
            <w:tr>
              <w:tc>
                <w:tcPr>
                  <w:tcW w:type="dxa" w:w="272"/>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外包运维管理</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a）应确保外包运维</w:t>
                  </w:r>
                  <w:r>
                    <w:rPr>
                      <w:rFonts w:ascii="仿宋_GB2312" w:hAnsi="仿宋_GB2312" w:cs="仿宋_GB2312" w:eastAsia="仿宋_GB2312"/>
                      <w:sz w:val="21"/>
                    </w:rPr>
                    <w:t>供应商</w:t>
                  </w:r>
                  <w:r>
                    <w:rPr>
                      <w:rFonts w:ascii="仿宋_GB2312" w:hAnsi="仿宋_GB2312" w:cs="仿宋_GB2312" w:eastAsia="仿宋_GB2312"/>
                      <w:sz w:val="21"/>
                    </w:rPr>
                    <w:t>的选择符合国家有关规定；</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b）应与选定的外包运维</w:t>
                  </w:r>
                  <w:r>
                    <w:rPr>
                      <w:rFonts w:ascii="仿宋_GB2312" w:hAnsi="仿宋_GB2312" w:cs="仿宋_GB2312" w:eastAsia="仿宋_GB2312"/>
                      <w:sz w:val="21"/>
                    </w:rPr>
                    <w:t>供应商</w:t>
                  </w:r>
                  <w:r>
                    <w:rPr>
                      <w:rFonts w:ascii="仿宋_GB2312" w:hAnsi="仿宋_GB2312" w:cs="仿宋_GB2312" w:eastAsia="仿宋_GB2312"/>
                      <w:sz w:val="21"/>
                    </w:rPr>
                    <w:t>签订相关的协议，明确约定外包运维的范围、工作内容；</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d）应保证选择的外包运维</w:t>
                  </w:r>
                  <w:r>
                    <w:rPr>
                      <w:rFonts w:ascii="仿宋_GB2312" w:hAnsi="仿宋_GB2312" w:cs="仿宋_GB2312" w:eastAsia="仿宋_GB2312"/>
                      <w:sz w:val="21"/>
                    </w:rPr>
                    <w:t>供应商</w:t>
                  </w:r>
                  <w:r>
                    <w:rPr>
                      <w:rFonts w:ascii="仿宋_GB2312" w:hAnsi="仿宋_GB2312" w:cs="仿宋_GB2312" w:eastAsia="仿宋_GB2312"/>
                      <w:sz w:val="21"/>
                    </w:rPr>
                    <w:t>在技术和管理方面均应具有按照等级保护要求开展安全运维工作的能力，并将能力在签订的协议中明确；</w:t>
                  </w:r>
                </w:p>
              </w:tc>
            </w:tr>
            <w:tr>
              <w:tc>
                <w:tcPr>
                  <w:tcW w:type="dxa" w:w="272"/>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d）应在与外包运维</w:t>
                  </w:r>
                  <w:r>
                    <w:rPr>
                      <w:rFonts w:ascii="仿宋_GB2312" w:hAnsi="仿宋_GB2312" w:cs="仿宋_GB2312" w:eastAsia="仿宋_GB2312"/>
                      <w:sz w:val="21"/>
                    </w:rPr>
                    <w:t>供应商</w:t>
                  </w:r>
                  <w:r>
                    <w:rPr>
                      <w:rFonts w:ascii="仿宋_GB2312" w:hAnsi="仿宋_GB2312" w:cs="仿宋_GB2312" w:eastAsia="仿宋_GB2312"/>
                      <w:sz w:val="21"/>
                    </w:rPr>
                    <w:t>签订的协议中明确所有相关的安全要求，</w:t>
                  </w:r>
                  <w:r>
                    <w:rPr>
                      <w:rFonts w:ascii="仿宋_GB2312" w:hAnsi="仿宋_GB2312" w:cs="仿宋_GB2312" w:eastAsia="仿宋_GB2312"/>
                      <w:sz w:val="21"/>
                    </w:rPr>
                    <w:t>如可能涉及对敏感信息的访问、处理、储存要求，对</w:t>
                  </w:r>
                  <w:r>
                    <w:rPr>
                      <w:rFonts w:ascii="仿宋_GB2312" w:hAnsi="仿宋_GB2312" w:cs="仿宋_GB2312" w:eastAsia="仿宋_GB2312"/>
                      <w:sz w:val="21"/>
                    </w:rPr>
                    <w:t>IT基础设施中断服务的应急保障要求等。</w:t>
                  </w:r>
                </w:p>
              </w:tc>
            </w:tr>
          </w:tbl>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.4</w:t>
            </w:r>
            <w:r>
              <w:rPr>
                <w:rFonts w:ascii="仿宋_GB2312" w:hAnsi="仿宋_GB2312" w:cs="仿宋_GB2312" w:eastAsia="仿宋_GB2312"/>
                <w:sz w:val="21"/>
                <w:b/>
              </w:rPr>
              <w:t>测评原则</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4.1标准性</w:t>
            </w:r>
          </w:p>
          <w:p>
            <w:pPr>
              <w:pStyle w:val="null3"/>
              <w:jc w:val="both"/>
            </w:pPr>
            <w:r>
              <w:rPr>
                <w:rFonts w:ascii="仿宋_GB2312" w:hAnsi="仿宋_GB2312" w:cs="仿宋_GB2312" w:eastAsia="仿宋_GB2312"/>
                <w:sz w:val="21"/>
              </w:rPr>
              <w:t>在项目实施过程中严格按照</w:t>
            </w:r>
            <w:r>
              <w:rPr>
                <w:rFonts w:ascii="仿宋_GB2312" w:hAnsi="仿宋_GB2312" w:cs="仿宋_GB2312" w:eastAsia="仿宋_GB2312"/>
                <w:sz w:val="21"/>
              </w:rPr>
              <w:t>GB/T22239-2019、GB/T28448-2019、GB/T28449-2018、GB/T36627-2018等标准中规定的评测要求、评测方法等进行项目实施。</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4.2客观公正性</w:t>
            </w:r>
          </w:p>
          <w:p>
            <w:pPr>
              <w:pStyle w:val="null3"/>
              <w:jc w:val="both"/>
            </w:pPr>
            <w:r>
              <w:rPr>
                <w:rFonts w:ascii="仿宋_GB2312" w:hAnsi="仿宋_GB2312" w:cs="仿宋_GB2312" w:eastAsia="仿宋_GB2312"/>
                <w:sz w:val="21"/>
              </w:rPr>
              <w:t>在没有偏见和最小主观判断情形下，按照测评双方相互认可的测评方案，基于明确定义的测评方法和过程，实施测评活动。</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4.3规范行为</w:t>
            </w:r>
          </w:p>
          <w:p>
            <w:pPr>
              <w:pStyle w:val="null3"/>
              <w:jc w:val="both"/>
            </w:pPr>
            <w:r>
              <w:rPr>
                <w:rFonts w:ascii="仿宋_GB2312" w:hAnsi="仿宋_GB2312" w:cs="仿宋_GB2312" w:eastAsia="仿宋_GB2312"/>
                <w:sz w:val="21"/>
              </w:rPr>
              <w:t>严格按照测评指导书的使用规范的测评技术进行测评，准确记录测评证据；不擅自评价测评结果；不将测评结果复制给非测评人员；对被测单位的敏感信息或工作秘密，在指定场所查看，查看后立即归还。</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4.4规避风险</w:t>
            </w:r>
          </w:p>
          <w:p>
            <w:pPr>
              <w:pStyle w:val="null3"/>
              <w:jc w:val="both"/>
            </w:pPr>
            <w:r>
              <w:rPr>
                <w:rFonts w:ascii="仿宋_GB2312" w:hAnsi="仿宋_GB2312" w:cs="仿宋_GB2312" w:eastAsia="仿宋_GB2312"/>
                <w:sz w:val="21"/>
              </w:rPr>
              <w:t>充分评估测评可能对被测系统带来的影响，揭示风险，协助开展预防措施规避风险。签订现场测评授权书、保密协议。及时与测评委托单位沟通，从而保证项目执行的效果。</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4.5结果完善性</w:t>
            </w:r>
          </w:p>
          <w:p>
            <w:pPr>
              <w:pStyle w:val="null3"/>
              <w:jc w:val="both"/>
            </w:pPr>
            <w:r>
              <w:rPr>
                <w:rFonts w:ascii="仿宋_GB2312" w:hAnsi="仿宋_GB2312" w:cs="仿宋_GB2312" w:eastAsia="仿宋_GB2312"/>
                <w:sz w:val="21"/>
              </w:rPr>
              <w:t>测评所产生的结果是在对测评指标的正确理解下所取得的良好的判断</w:t>
            </w:r>
            <w:r>
              <w:rPr>
                <w:rFonts w:ascii="仿宋_GB2312" w:hAnsi="仿宋_GB2312" w:cs="仿宋_GB2312" w:eastAsia="仿宋_GB2312"/>
                <w:sz w:val="21"/>
              </w:rPr>
              <w:t>。在测评实施过程中应当使用正确的方法以确保其满足了测评指标的要求。</w:t>
            </w:r>
          </w:p>
          <w:p>
            <w:pPr>
              <w:pStyle w:val="null3"/>
              <w:jc w:val="both"/>
            </w:pPr>
            <w:r>
              <w:rPr>
                <w:rFonts w:ascii="仿宋_GB2312" w:hAnsi="仿宋_GB2312" w:cs="仿宋_GB2312" w:eastAsia="仿宋_GB2312"/>
                <w:sz w:val="21"/>
                <w:b/>
                <w:shd w:fill="FFFFFF" w:val="clear"/>
              </w:rPr>
              <w:t>6.项目验收</w:t>
            </w:r>
          </w:p>
          <w:p>
            <w:pPr>
              <w:pStyle w:val="null3"/>
              <w:jc w:val="both"/>
            </w:pPr>
            <w:r>
              <w:rPr>
                <w:rFonts w:ascii="仿宋_GB2312" w:hAnsi="仿宋_GB2312" w:cs="仿宋_GB2312" w:eastAsia="仿宋_GB2312"/>
                <w:sz w:val="21"/>
              </w:rPr>
              <w:t>项目验收方法：</w:t>
            </w:r>
            <w:r>
              <w:rPr>
                <w:rFonts w:ascii="仿宋_GB2312" w:hAnsi="仿宋_GB2312" w:cs="仿宋_GB2312" w:eastAsia="仿宋_GB2312"/>
                <w:sz w:val="21"/>
              </w:rPr>
              <w:t>供应商</w:t>
            </w:r>
            <w:r>
              <w:rPr>
                <w:rFonts w:ascii="仿宋_GB2312" w:hAnsi="仿宋_GB2312" w:cs="仿宋_GB2312" w:eastAsia="仿宋_GB2312"/>
                <w:sz w:val="21"/>
              </w:rPr>
              <w:t>出具《信息安全</w:t>
            </w:r>
            <w:r>
              <w:rPr>
                <w:rFonts w:ascii="仿宋_GB2312" w:hAnsi="仿宋_GB2312" w:cs="仿宋_GB2312" w:eastAsia="仿宋_GB2312"/>
                <w:sz w:val="21"/>
              </w:rPr>
              <w:t>等级</w:t>
            </w:r>
            <w:r>
              <w:rPr>
                <w:rFonts w:ascii="仿宋_GB2312" w:hAnsi="仿宋_GB2312" w:cs="仿宋_GB2312" w:eastAsia="仿宋_GB2312"/>
                <w:sz w:val="21"/>
              </w:rPr>
              <w:t>保护</w:t>
            </w:r>
            <w:r>
              <w:rPr>
                <w:rFonts w:ascii="仿宋_GB2312" w:hAnsi="仿宋_GB2312" w:cs="仿宋_GB2312" w:eastAsia="仿宋_GB2312"/>
                <w:sz w:val="21"/>
              </w:rPr>
              <w:t>测评报告</w:t>
            </w:r>
            <w:r>
              <w:rPr>
                <w:rFonts w:ascii="仿宋_GB2312" w:hAnsi="仿宋_GB2312" w:cs="仿宋_GB2312" w:eastAsia="仿宋_GB2312"/>
                <w:sz w:val="21"/>
              </w:rPr>
              <w:t>》（每个系统一套）并协助</w:t>
            </w:r>
            <w:r>
              <w:rPr>
                <w:rFonts w:ascii="仿宋_GB2312" w:hAnsi="仿宋_GB2312" w:cs="仿宋_GB2312" w:eastAsia="仿宋_GB2312"/>
                <w:sz w:val="21"/>
              </w:rPr>
              <w:t>采购人</w:t>
            </w:r>
            <w:r>
              <w:rPr>
                <w:rFonts w:ascii="仿宋_GB2312" w:hAnsi="仿宋_GB2312" w:cs="仿宋_GB2312" w:eastAsia="仿宋_GB2312"/>
                <w:sz w:val="21"/>
              </w:rPr>
              <w:t>取得未备案系统的《信息系统安全</w:t>
            </w:r>
            <w:r>
              <w:rPr>
                <w:rFonts w:ascii="仿宋_GB2312" w:hAnsi="仿宋_GB2312" w:cs="仿宋_GB2312" w:eastAsia="仿宋_GB2312"/>
                <w:sz w:val="21"/>
              </w:rPr>
              <w:t>等级</w:t>
            </w:r>
            <w:r>
              <w:rPr>
                <w:rFonts w:ascii="仿宋_GB2312" w:hAnsi="仿宋_GB2312" w:cs="仿宋_GB2312" w:eastAsia="仿宋_GB2312"/>
                <w:sz w:val="21"/>
              </w:rPr>
              <w:t>保护备案证明》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shd w:fill="FFFFFF" w:val="clear"/>
              </w:rPr>
              <w:t>7</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保密要求</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承担被测评单位敏感信息的保密责任，在项目实施过程中，双方需要复制对方提供的相关资料时，应提交书面申请，在得到对方书面同意后方可复制，并将数据内容记录成表，签字确认。</w:t>
            </w:r>
          </w:p>
          <w:p>
            <w:pPr>
              <w:pStyle w:val="null3"/>
              <w:jc w:val="both"/>
            </w:pPr>
            <w:r>
              <w:rPr>
                <w:rFonts w:ascii="仿宋_GB2312" w:hAnsi="仿宋_GB2312" w:cs="仿宋_GB2312" w:eastAsia="仿宋_GB2312"/>
                <w:sz w:val="21"/>
              </w:rPr>
              <w:t>未经双方书面同意，不得向第三方透露项目和涉及双方</w:t>
            </w:r>
            <w:r>
              <w:rPr>
                <w:rFonts w:ascii="仿宋_GB2312" w:hAnsi="仿宋_GB2312" w:cs="仿宋_GB2312" w:eastAsia="仿宋_GB2312"/>
                <w:sz w:val="21"/>
              </w:rPr>
              <w:t>的</w:t>
            </w:r>
            <w:r>
              <w:rPr>
                <w:rFonts w:ascii="仿宋_GB2312" w:hAnsi="仿宋_GB2312" w:cs="仿宋_GB2312" w:eastAsia="仿宋_GB2312"/>
                <w:sz w:val="21"/>
              </w:rPr>
              <w:t>信息安全、技术成果的任何内容。</w:t>
            </w:r>
          </w:p>
          <w:p>
            <w:pPr>
              <w:pStyle w:val="null3"/>
              <w:jc w:val="both"/>
            </w:pPr>
            <w:r>
              <w:rPr>
                <w:rFonts w:ascii="仿宋_GB2312" w:hAnsi="仿宋_GB2312" w:cs="仿宋_GB2312" w:eastAsia="仿宋_GB2312"/>
                <w:sz w:val="21"/>
                <w:shd w:fill="FFFFFF" w:val="clear"/>
              </w:rPr>
              <w:t>项目结束后，双方必须互相确认测评过程中提供的相关资料，相互承担保密责任。</w:t>
            </w:r>
          </w:p>
          <w:p>
            <w:pPr>
              <w:pStyle w:val="null3"/>
              <w:jc w:val="both"/>
            </w:pPr>
            <w:r>
              <w:rPr>
                <w:rFonts w:ascii="仿宋_GB2312" w:hAnsi="仿宋_GB2312" w:cs="仿宋_GB2312" w:eastAsia="仿宋_GB2312"/>
                <w:sz w:val="21"/>
                <w:b/>
                <w:shd w:fill="FFFFFF" w:val="clear"/>
              </w:rPr>
              <w:t>8</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其他</w:t>
            </w:r>
          </w:p>
          <w:p>
            <w:pPr>
              <w:pStyle w:val="null3"/>
              <w:jc w:val="both"/>
            </w:pPr>
            <w:r>
              <w:rPr>
                <w:rFonts w:ascii="仿宋_GB2312" w:hAnsi="仿宋_GB2312" w:cs="仿宋_GB2312" w:eastAsia="仿宋_GB2312"/>
                <w:sz w:val="21"/>
              </w:rPr>
              <w:t>本项目应至少配备</w:t>
            </w:r>
            <w:r>
              <w:rPr>
                <w:rFonts w:ascii="仿宋_GB2312" w:hAnsi="仿宋_GB2312" w:cs="仿宋_GB2312" w:eastAsia="仿宋_GB2312"/>
                <w:sz w:val="21"/>
              </w:rPr>
              <w:t>7人现场实施团队</w:t>
            </w:r>
            <w:r>
              <w:rPr>
                <w:rFonts w:ascii="仿宋_GB2312" w:hAnsi="仿宋_GB2312" w:cs="仿宋_GB2312" w:eastAsia="仿宋_GB2312"/>
                <w:sz w:val="21"/>
              </w:rPr>
              <w:t>，</w:t>
            </w:r>
            <w:r>
              <w:rPr>
                <w:rFonts w:ascii="仿宋_GB2312" w:hAnsi="仿宋_GB2312" w:cs="仿宋_GB2312" w:eastAsia="仿宋_GB2312"/>
                <w:sz w:val="21"/>
              </w:rPr>
              <w:t>其中包含项目负责人</w:t>
            </w:r>
            <w:r>
              <w:rPr>
                <w:rFonts w:ascii="仿宋_GB2312" w:hAnsi="仿宋_GB2312" w:cs="仿宋_GB2312" w:eastAsia="仿宋_GB2312"/>
                <w:sz w:val="21"/>
              </w:rPr>
              <w:t>1名</w:t>
            </w:r>
            <w:r>
              <w:rPr>
                <w:rFonts w:ascii="仿宋_GB2312" w:hAnsi="仿宋_GB2312" w:cs="仿宋_GB2312" w:eastAsia="仿宋_GB2312"/>
                <w:sz w:val="21"/>
              </w:rPr>
              <w:t>。供应商应根据上述因素结合其他方面因素自行考虑含入磋商报价中，采购人不因供应商磋商报价中的任何遗漏而予以增加或补偿费用，磋商报价表中标明的价格在合同执行过程中，不得以任何理由变更。</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标的名称：陕西省市场监督管理局信息系统密码应用安全性评估服务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shd w:fill="FFFFFF" w:val="clear"/>
              </w:rPr>
              <w:t>1.1</w:t>
            </w:r>
            <w:r>
              <w:rPr>
                <w:rFonts w:ascii="仿宋_GB2312" w:hAnsi="仿宋_GB2312" w:cs="仿宋_GB2312" w:eastAsia="仿宋_GB2312"/>
                <w:sz w:val="20"/>
                <w:b/>
                <w:shd w:fill="FFFFFF" w:val="clear"/>
              </w:rPr>
              <w:t>测评概述</w:t>
            </w:r>
          </w:p>
          <w:p>
            <w:pPr>
              <w:pStyle w:val="null3"/>
              <w:jc w:val="both"/>
            </w:pPr>
            <w:r>
              <w:rPr>
                <w:rFonts w:ascii="仿宋_GB2312" w:hAnsi="仿宋_GB2312" w:cs="仿宋_GB2312" w:eastAsia="仿宋_GB2312"/>
                <w:sz w:val="20"/>
                <w:b/>
                <w:shd w:fill="FFFFFF" w:val="clear"/>
              </w:rPr>
              <w:t>1.1.1</w:t>
            </w:r>
            <w:r>
              <w:rPr>
                <w:rFonts w:ascii="仿宋_GB2312" w:hAnsi="仿宋_GB2312" w:cs="仿宋_GB2312" w:eastAsia="仿宋_GB2312"/>
                <w:sz w:val="20"/>
                <w:b/>
                <w:shd w:fill="FFFFFF" w:val="clear"/>
              </w:rPr>
              <w:t>项目背景</w:t>
            </w:r>
          </w:p>
          <w:p>
            <w:pPr>
              <w:pStyle w:val="null3"/>
              <w:jc w:val="both"/>
            </w:pPr>
            <w:r>
              <w:rPr>
                <w:rFonts w:ascii="仿宋_GB2312" w:hAnsi="仿宋_GB2312" w:cs="仿宋_GB2312" w:eastAsia="仿宋_GB2312"/>
                <w:sz w:val="20"/>
                <w:shd w:fill="FFFFFF" w:val="clear"/>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w:t>
            </w:r>
          </w:p>
          <w:p>
            <w:pPr>
              <w:pStyle w:val="null3"/>
              <w:jc w:val="both"/>
            </w:pPr>
            <w:r>
              <w:rPr>
                <w:rFonts w:ascii="仿宋_GB2312" w:hAnsi="仿宋_GB2312" w:cs="仿宋_GB2312" w:eastAsia="仿宋_GB2312"/>
                <w:sz w:val="20"/>
                <w:b/>
                <w:shd w:fill="FFFFFF" w:val="clear"/>
              </w:rPr>
              <w:t>1.1.2</w:t>
            </w:r>
            <w:r>
              <w:rPr>
                <w:rFonts w:ascii="仿宋_GB2312" w:hAnsi="仿宋_GB2312" w:cs="仿宋_GB2312" w:eastAsia="仿宋_GB2312"/>
                <w:sz w:val="20"/>
                <w:b/>
                <w:shd w:fill="FFFFFF" w:val="clear"/>
              </w:rPr>
              <w:t>测评目的及范围</w:t>
            </w:r>
          </w:p>
          <w:p>
            <w:pPr>
              <w:pStyle w:val="null3"/>
              <w:jc w:val="both"/>
            </w:pPr>
            <w:r>
              <w:rPr>
                <w:rFonts w:ascii="仿宋_GB2312" w:hAnsi="仿宋_GB2312" w:cs="仿宋_GB2312" w:eastAsia="仿宋_GB2312"/>
                <w:sz w:val="20"/>
                <w:shd w:fill="FFFFFF" w:val="clear"/>
              </w:rPr>
              <w:t>依据《信息系统密码应用基本要求》，针对目标系统从技术要求、密钥管理、安全管理三个角度出发，围绕信息系统的物理和环境安全、网络和通信安全、设备和计算安全、应用和数据安全以及密钥管理、安全管理开展密码测评工作，以期发现信息系统与其相应安全等级要求之间的差距以及存在的安全隐患，为密码应用测评标准提供工作建议，保障信息系统密码合规、正确、有效地应用。</w:t>
            </w:r>
          </w:p>
          <w:p>
            <w:pPr>
              <w:pStyle w:val="null3"/>
              <w:jc w:val="both"/>
            </w:pPr>
            <w:r>
              <w:rPr>
                <w:rFonts w:ascii="仿宋_GB2312" w:hAnsi="仿宋_GB2312" w:cs="仿宋_GB2312" w:eastAsia="仿宋_GB2312"/>
                <w:sz w:val="20"/>
                <w:shd w:fill="FFFFFF" w:val="clear"/>
              </w:rPr>
              <w:t>密码测评的目的是通过对目标系统在安全技术及管理方面的测评，对目标系统的安全技术状态及安全管理状况做出初步判断，给出目标系统在安全技术及安全管理方面与其相应安全等级要求之间的差距。测评结论作为</w:t>
            </w:r>
            <w:r>
              <w:rPr>
                <w:rFonts w:ascii="仿宋_GB2312" w:hAnsi="仿宋_GB2312" w:cs="仿宋_GB2312" w:eastAsia="仿宋_GB2312"/>
                <w:sz w:val="20"/>
                <w:shd w:fill="FFFFFF" w:val="clear"/>
              </w:rPr>
              <w:t>采购人</w:t>
            </w:r>
            <w:r>
              <w:rPr>
                <w:rFonts w:ascii="仿宋_GB2312" w:hAnsi="仿宋_GB2312" w:cs="仿宋_GB2312" w:eastAsia="仿宋_GB2312"/>
                <w:sz w:val="20"/>
                <w:shd w:fill="FFFFFF" w:val="clear"/>
              </w:rPr>
              <w:t>进一步完善系统安全策略及安全技术防护措施依据。</w:t>
            </w:r>
          </w:p>
          <w:p>
            <w:pPr>
              <w:pStyle w:val="null3"/>
              <w:jc w:val="both"/>
            </w:pPr>
            <w:r>
              <w:rPr>
                <w:rFonts w:ascii="仿宋_GB2312" w:hAnsi="仿宋_GB2312" w:cs="仿宋_GB2312" w:eastAsia="仿宋_GB2312"/>
                <w:sz w:val="20"/>
                <w:shd w:fill="FFFFFF" w:val="clear"/>
              </w:rPr>
              <w:t>此次测评范围为：陕西省特种设备智慧监管平台、计量业务综合管理信息平台、数智市监大数据支撑体系建设项目、陕西省小个专党建综合服务管理平台</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陕西省市场监督管理局智慧云中心（统一门户）。</w:t>
            </w:r>
          </w:p>
          <w:p>
            <w:pPr>
              <w:pStyle w:val="null3"/>
              <w:jc w:val="both"/>
            </w:pPr>
            <w:r>
              <w:rPr>
                <w:rFonts w:ascii="仿宋_GB2312" w:hAnsi="仿宋_GB2312" w:cs="仿宋_GB2312" w:eastAsia="仿宋_GB2312"/>
                <w:sz w:val="20"/>
                <w:shd w:fill="FFFFFF" w:val="clear"/>
              </w:rPr>
              <w:t>供应商需提供整改建议咨询服务。</w:t>
            </w:r>
          </w:p>
          <w:p>
            <w:pPr>
              <w:pStyle w:val="null3"/>
              <w:jc w:val="both"/>
            </w:pPr>
            <w:r>
              <w:rPr>
                <w:rFonts w:ascii="仿宋_GB2312" w:hAnsi="仿宋_GB2312" w:cs="仿宋_GB2312" w:eastAsia="仿宋_GB2312"/>
                <w:sz w:val="20"/>
                <w:b/>
                <w:shd w:fill="FFFFFF" w:val="clear"/>
              </w:rPr>
              <w:t>1.1.3</w:t>
            </w:r>
            <w:r>
              <w:rPr>
                <w:rFonts w:ascii="仿宋_GB2312" w:hAnsi="仿宋_GB2312" w:cs="仿宋_GB2312" w:eastAsia="仿宋_GB2312"/>
                <w:sz w:val="20"/>
                <w:b/>
                <w:shd w:fill="FFFFFF" w:val="clear"/>
              </w:rPr>
              <w:t>测评依据</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法律法规：</w:t>
            </w:r>
          </w:p>
          <w:p>
            <w:pPr>
              <w:pStyle w:val="null3"/>
              <w:jc w:val="both"/>
            </w:pPr>
            <w:r>
              <w:rPr>
                <w:rFonts w:ascii="仿宋_GB2312" w:hAnsi="仿宋_GB2312" w:cs="仿宋_GB2312" w:eastAsia="仿宋_GB2312"/>
                <w:sz w:val="20"/>
                <w:shd w:fill="FFFFFF" w:val="clear"/>
              </w:rPr>
              <w:t>《中华人民共和国密码法》</w:t>
            </w:r>
          </w:p>
          <w:p>
            <w:pPr>
              <w:pStyle w:val="null3"/>
              <w:jc w:val="both"/>
            </w:pPr>
            <w:r>
              <w:rPr>
                <w:rFonts w:ascii="仿宋_GB2312" w:hAnsi="仿宋_GB2312" w:cs="仿宋_GB2312" w:eastAsia="仿宋_GB2312"/>
                <w:sz w:val="20"/>
                <w:shd w:fill="FFFFFF" w:val="clear"/>
              </w:rPr>
              <w:t>《中华人民共和国电子签名法》</w:t>
            </w:r>
          </w:p>
          <w:p>
            <w:pPr>
              <w:pStyle w:val="null3"/>
              <w:jc w:val="both"/>
            </w:pPr>
            <w:r>
              <w:rPr>
                <w:rFonts w:ascii="仿宋_GB2312" w:hAnsi="仿宋_GB2312" w:cs="仿宋_GB2312" w:eastAsia="仿宋_GB2312"/>
                <w:sz w:val="20"/>
                <w:shd w:fill="FFFFFF" w:val="clear"/>
              </w:rPr>
              <w:t>《中华人民共和国网络安全法》</w:t>
            </w:r>
          </w:p>
          <w:p>
            <w:pPr>
              <w:pStyle w:val="null3"/>
              <w:jc w:val="both"/>
            </w:pPr>
            <w:r>
              <w:rPr>
                <w:rFonts w:ascii="仿宋_GB2312" w:hAnsi="仿宋_GB2312" w:cs="仿宋_GB2312" w:eastAsia="仿宋_GB2312"/>
                <w:sz w:val="20"/>
                <w:shd w:fill="FFFFFF" w:val="clear"/>
              </w:rPr>
              <w:t>《中华人民共和国个人信息保护法》</w:t>
            </w:r>
          </w:p>
          <w:p>
            <w:pPr>
              <w:pStyle w:val="null3"/>
              <w:jc w:val="both"/>
            </w:pPr>
            <w:r>
              <w:rPr>
                <w:rFonts w:ascii="仿宋_GB2312" w:hAnsi="仿宋_GB2312" w:cs="仿宋_GB2312" w:eastAsia="仿宋_GB2312"/>
                <w:sz w:val="20"/>
                <w:shd w:fill="FFFFFF" w:val="clear"/>
              </w:rPr>
              <w:t>《中华人民共和国数据安全法》</w:t>
            </w:r>
          </w:p>
          <w:p>
            <w:pPr>
              <w:pStyle w:val="null3"/>
              <w:jc w:val="both"/>
            </w:pPr>
            <w:r>
              <w:rPr>
                <w:rFonts w:ascii="仿宋_GB2312" w:hAnsi="仿宋_GB2312" w:cs="仿宋_GB2312" w:eastAsia="仿宋_GB2312"/>
                <w:sz w:val="20"/>
                <w:shd w:fill="FFFFFF" w:val="clear"/>
              </w:rPr>
              <w:t>《商用密码管理条例》</w:t>
            </w:r>
          </w:p>
          <w:p>
            <w:pPr>
              <w:pStyle w:val="null3"/>
              <w:jc w:val="both"/>
            </w:pPr>
            <w:r>
              <w:rPr>
                <w:rFonts w:ascii="仿宋_GB2312" w:hAnsi="仿宋_GB2312" w:cs="仿宋_GB2312" w:eastAsia="仿宋_GB2312"/>
                <w:sz w:val="20"/>
                <w:shd w:fill="FFFFFF" w:val="clear"/>
              </w:rPr>
              <w:t>《国家政务信息化项目建设管理办法》</w:t>
            </w:r>
          </w:p>
          <w:p>
            <w:pPr>
              <w:pStyle w:val="null3"/>
              <w:jc w:val="both"/>
            </w:pPr>
            <w:r>
              <w:rPr>
                <w:rFonts w:ascii="仿宋_GB2312" w:hAnsi="仿宋_GB2312" w:cs="仿宋_GB2312" w:eastAsia="仿宋_GB2312"/>
                <w:sz w:val="20"/>
                <w:shd w:fill="FFFFFF" w:val="clear"/>
              </w:rPr>
              <w:t>《电子认证服务管理办法》</w:t>
            </w:r>
          </w:p>
          <w:p>
            <w:pPr>
              <w:pStyle w:val="null3"/>
              <w:jc w:val="both"/>
            </w:pPr>
            <w:r>
              <w:rPr>
                <w:rFonts w:ascii="仿宋_GB2312" w:hAnsi="仿宋_GB2312" w:cs="仿宋_GB2312" w:eastAsia="仿宋_GB2312"/>
                <w:sz w:val="20"/>
                <w:shd w:fill="FFFFFF" w:val="clear"/>
              </w:rPr>
              <w:t>《信息安全等级保护商用密码管理办法》</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行业标准及其他依据：</w:t>
            </w:r>
          </w:p>
          <w:p>
            <w:pPr>
              <w:pStyle w:val="null3"/>
              <w:jc w:val="both"/>
            </w:pPr>
            <w:r>
              <w:rPr>
                <w:rFonts w:ascii="仿宋_GB2312" w:hAnsi="仿宋_GB2312" w:cs="仿宋_GB2312" w:eastAsia="仿宋_GB2312"/>
                <w:sz w:val="20"/>
                <w:shd w:fill="FFFFFF" w:val="clear"/>
              </w:rPr>
              <w:t>GB/T 39786-2021《信息安全技术 信息系统密码应用基本要求》</w:t>
            </w:r>
          </w:p>
          <w:p>
            <w:pPr>
              <w:pStyle w:val="null3"/>
              <w:jc w:val="both"/>
            </w:pPr>
            <w:r>
              <w:rPr>
                <w:rFonts w:ascii="仿宋_GB2312" w:hAnsi="仿宋_GB2312" w:cs="仿宋_GB2312" w:eastAsia="仿宋_GB2312"/>
                <w:sz w:val="20"/>
                <w:shd w:fill="FFFFFF" w:val="clear"/>
              </w:rPr>
              <w:t>GB/T 43206-2023《信息安全技术 信息系统密码应用测评要求》</w:t>
            </w:r>
          </w:p>
          <w:p>
            <w:pPr>
              <w:pStyle w:val="null3"/>
              <w:jc w:val="both"/>
            </w:pPr>
            <w:r>
              <w:rPr>
                <w:rFonts w:ascii="仿宋_GB2312" w:hAnsi="仿宋_GB2312" w:cs="仿宋_GB2312" w:eastAsia="仿宋_GB2312"/>
                <w:sz w:val="20"/>
                <w:shd w:fill="FFFFFF" w:val="clear"/>
              </w:rPr>
              <w:t>《商用密码应用安全性评估管理办法》</w:t>
            </w:r>
          </w:p>
          <w:p>
            <w:pPr>
              <w:pStyle w:val="null3"/>
              <w:jc w:val="both"/>
            </w:pPr>
            <w:r>
              <w:rPr>
                <w:rFonts w:ascii="仿宋_GB2312" w:hAnsi="仿宋_GB2312" w:cs="仿宋_GB2312" w:eastAsia="仿宋_GB2312"/>
                <w:sz w:val="20"/>
                <w:shd w:fill="FFFFFF" w:val="clear"/>
              </w:rPr>
              <w:t>《商用密码检测机构管理办法》</w:t>
            </w:r>
          </w:p>
          <w:p>
            <w:pPr>
              <w:pStyle w:val="null3"/>
              <w:jc w:val="both"/>
            </w:pPr>
            <w:r>
              <w:rPr>
                <w:rFonts w:ascii="仿宋_GB2312" w:hAnsi="仿宋_GB2312" w:cs="仿宋_GB2312" w:eastAsia="仿宋_GB2312"/>
                <w:sz w:val="20"/>
                <w:shd w:fill="FFFFFF" w:val="clear"/>
              </w:rPr>
              <w:t>《系统密码应用方案》</w:t>
            </w:r>
          </w:p>
          <w:p>
            <w:pPr>
              <w:pStyle w:val="null3"/>
              <w:jc w:val="both"/>
            </w:pPr>
            <w:r>
              <w:rPr>
                <w:rFonts w:ascii="仿宋_GB2312" w:hAnsi="仿宋_GB2312" w:cs="仿宋_GB2312" w:eastAsia="仿宋_GB2312"/>
                <w:sz w:val="20"/>
                <w:shd w:fill="FFFFFF" w:val="clear"/>
              </w:rPr>
              <w:t>密码应用管理相关制度文件</w:t>
            </w:r>
          </w:p>
          <w:p>
            <w:pPr>
              <w:pStyle w:val="null3"/>
              <w:jc w:val="both"/>
            </w:pPr>
            <w:r>
              <w:rPr>
                <w:rFonts w:ascii="仿宋_GB2312" w:hAnsi="仿宋_GB2312" w:cs="仿宋_GB2312" w:eastAsia="仿宋_GB2312"/>
                <w:sz w:val="20"/>
                <w:b/>
                <w:shd w:fill="FFFFFF" w:val="clear"/>
              </w:rPr>
              <w:t>1.1.</w:t>
            </w:r>
            <w:r>
              <w:rPr>
                <w:rFonts w:ascii="仿宋_GB2312" w:hAnsi="仿宋_GB2312" w:cs="仿宋_GB2312" w:eastAsia="仿宋_GB2312"/>
                <w:sz w:val="20"/>
                <w:b/>
                <w:shd w:fill="FFFFFF" w:val="clear"/>
              </w:rPr>
              <w:t>4</w:t>
            </w:r>
            <w:r>
              <w:rPr>
                <w:rFonts w:ascii="仿宋_GB2312" w:hAnsi="仿宋_GB2312" w:cs="仿宋_GB2312" w:eastAsia="仿宋_GB2312"/>
                <w:sz w:val="20"/>
                <w:b/>
                <w:shd w:fill="FFFFFF" w:val="clear"/>
              </w:rPr>
              <w:t>测评原则</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客观公正原则</w:t>
            </w:r>
          </w:p>
          <w:p>
            <w:pPr>
              <w:pStyle w:val="null3"/>
              <w:jc w:val="both"/>
            </w:pPr>
            <w:r>
              <w:rPr>
                <w:rFonts w:ascii="仿宋_GB2312" w:hAnsi="仿宋_GB2312" w:cs="仿宋_GB2312" w:eastAsia="仿宋_GB2312"/>
                <w:sz w:val="20"/>
                <w:shd w:fill="FFFFFF" w:val="clear"/>
              </w:rPr>
              <w:t>测评人员保证在最小主观判断情形下，按照双方认可的测评方案，基于明确定义的测评方式和解释，实施测评活动。</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经济性和可重用性原则</w:t>
            </w:r>
          </w:p>
          <w:p>
            <w:pPr>
              <w:pStyle w:val="null3"/>
              <w:jc w:val="both"/>
            </w:pPr>
            <w:r>
              <w:rPr>
                <w:rFonts w:ascii="仿宋_GB2312" w:hAnsi="仿宋_GB2312" w:cs="仿宋_GB2312" w:eastAsia="仿宋_GB2312"/>
                <w:sz w:val="20"/>
                <w:shd w:fill="FFFFFF" w:val="clear"/>
              </w:rPr>
              <w:t>测评工作采信可重用已有测评结果中相同的检测项目，包括商用密码安全产品测评结果，信息系统密码测评结果和等级保护测评结果。所有重用结果都以结果适用于待测系统为前提，并能够客观反映目前系统的安全状态。</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可重复性和可再现性原则</w:t>
            </w:r>
          </w:p>
          <w:p>
            <w:pPr>
              <w:pStyle w:val="null3"/>
              <w:jc w:val="both"/>
            </w:pPr>
            <w:r>
              <w:rPr>
                <w:rFonts w:ascii="仿宋_GB2312" w:hAnsi="仿宋_GB2312" w:cs="仿宋_GB2312" w:eastAsia="仿宋_GB2312"/>
                <w:sz w:val="20"/>
                <w:shd w:fill="FFFFFF" w:val="clear"/>
              </w:rPr>
              <w:t>依照同样的要求，使用同样的测评方法，在同样的环境下，不同的测评机构对每个测评实施过程的重复执行应得到同样的结果。可再现性和可重复性的区别在于，前者关注不同测评者测评结果的一致性，后者则与同一测评者测评结果的一致性有关。</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结果完善性原则</w:t>
            </w:r>
          </w:p>
          <w:p>
            <w:pPr>
              <w:pStyle w:val="null3"/>
              <w:jc w:val="both"/>
            </w:pPr>
            <w:r>
              <w:rPr>
                <w:rFonts w:ascii="仿宋_GB2312" w:hAnsi="仿宋_GB2312" w:cs="仿宋_GB2312" w:eastAsia="仿宋_GB2312"/>
                <w:sz w:val="20"/>
                <w:shd w:fill="FFFFFF" w:val="clear"/>
              </w:rPr>
              <w:t>在正确理解《信息系统密码应用基本要求》各个要求项内容的基础之上，检测所产生的结果应客观反映信息系统的运行状态。测评过程和结果应服从正确的测评方法，以确保其满足要求。</w:t>
            </w:r>
          </w:p>
          <w:p>
            <w:pPr>
              <w:pStyle w:val="null3"/>
              <w:jc w:val="both"/>
            </w:pPr>
            <w:r>
              <w:rPr>
                <w:rFonts w:ascii="仿宋_GB2312" w:hAnsi="仿宋_GB2312" w:cs="仿宋_GB2312" w:eastAsia="仿宋_GB2312"/>
                <w:sz w:val="20"/>
                <w:b/>
                <w:shd w:fill="FFFFFF" w:val="clear"/>
              </w:rPr>
              <w:t>1.2</w:t>
            </w:r>
            <w:r>
              <w:rPr>
                <w:rFonts w:ascii="仿宋_GB2312" w:hAnsi="仿宋_GB2312" w:cs="仿宋_GB2312" w:eastAsia="仿宋_GB2312"/>
                <w:sz w:val="20"/>
                <w:b/>
                <w:shd w:fill="FFFFFF" w:val="clear"/>
              </w:rPr>
              <w:t>密码应用安全性评估测评实施</w:t>
            </w:r>
          </w:p>
          <w:p>
            <w:pPr>
              <w:pStyle w:val="null3"/>
              <w:jc w:val="both"/>
            </w:pPr>
            <w:r>
              <w:rPr>
                <w:rFonts w:ascii="仿宋_GB2312" w:hAnsi="仿宋_GB2312" w:cs="仿宋_GB2312" w:eastAsia="仿宋_GB2312"/>
                <w:sz w:val="20"/>
                <w:b/>
                <w:shd w:fill="FFFFFF" w:val="clear"/>
              </w:rPr>
              <w:t>1.2.1</w:t>
            </w:r>
            <w:r>
              <w:rPr>
                <w:rFonts w:ascii="仿宋_GB2312" w:hAnsi="仿宋_GB2312" w:cs="仿宋_GB2312" w:eastAsia="仿宋_GB2312"/>
                <w:sz w:val="20"/>
                <w:b/>
                <w:shd w:fill="FFFFFF" w:val="clear"/>
              </w:rPr>
              <w:t>测评目标</w:t>
            </w:r>
          </w:p>
          <w:p>
            <w:pPr>
              <w:pStyle w:val="null3"/>
              <w:jc w:val="both"/>
            </w:pPr>
            <w:r>
              <w:rPr>
                <w:rFonts w:ascii="仿宋_GB2312" w:hAnsi="仿宋_GB2312" w:cs="仿宋_GB2312" w:eastAsia="仿宋_GB2312"/>
                <w:sz w:val="20"/>
                <w:shd w:fill="FFFFFF" w:val="clear"/>
              </w:rPr>
              <w:t>对信息系统所使用的密码算法、密码技术、密码产品、密码服务进行合规性测评。信息系统中使用的密码算法应符合法律、法规的规定和密码相关国家标准、行业标准的有关要求；信息系统中使用的密码技术应遵循密码相关国家标准和行业标准；信息系统中使用的密码产品、密码服务应符合法律法规的相关要求。从信息系统的物理和环境安全、网络和通信安全、设备和计算安全、应用和数据安全、管理制度、人员管理、建设运行、应急处置对其密码应用基本要求进行测评，验证信息系统的商用密码应用基本要求是否达到其所对应网络安全等级保护级别的密码应用安全保护能力，是否满足对应安全等级的保护要求。</w:t>
            </w:r>
          </w:p>
          <w:p>
            <w:pPr>
              <w:pStyle w:val="null3"/>
              <w:jc w:val="both"/>
            </w:pPr>
            <w:r>
              <w:rPr>
                <w:rFonts w:ascii="仿宋_GB2312" w:hAnsi="仿宋_GB2312" w:cs="仿宋_GB2312" w:eastAsia="仿宋_GB2312"/>
                <w:sz w:val="20"/>
                <w:b/>
                <w:shd w:fill="FFFFFF" w:val="clear"/>
              </w:rPr>
              <w:t>1.2.2</w:t>
            </w:r>
            <w:r>
              <w:rPr>
                <w:rFonts w:ascii="仿宋_GB2312" w:hAnsi="仿宋_GB2312" w:cs="仿宋_GB2312" w:eastAsia="仿宋_GB2312"/>
                <w:sz w:val="20"/>
                <w:b/>
                <w:shd w:fill="FFFFFF" w:val="clear"/>
              </w:rPr>
              <w:t>测评方法</w:t>
            </w:r>
          </w:p>
          <w:p>
            <w:pPr>
              <w:pStyle w:val="null3"/>
              <w:jc w:val="both"/>
            </w:pPr>
            <w:r>
              <w:rPr>
                <w:rFonts w:ascii="仿宋_GB2312" w:hAnsi="仿宋_GB2312" w:cs="仿宋_GB2312" w:eastAsia="仿宋_GB2312"/>
                <w:sz w:val="20"/>
                <w:b/>
                <w:shd w:fill="FFFFFF" w:val="clear"/>
              </w:rPr>
              <w:t>1.2.2.1</w:t>
            </w:r>
            <w:r>
              <w:rPr>
                <w:rFonts w:ascii="仿宋_GB2312" w:hAnsi="仿宋_GB2312" w:cs="仿宋_GB2312" w:eastAsia="仿宋_GB2312"/>
                <w:sz w:val="20"/>
                <w:b/>
                <w:shd w:fill="FFFFFF" w:val="clear"/>
              </w:rPr>
              <w:t>测评方式</w:t>
            </w:r>
          </w:p>
          <w:p>
            <w:pPr>
              <w:pStyle w:val="null3"/>
              <w:jc w:val="both"/>
            </w:pPr>
            <w:r>
              <w:rPr>
                <w:rFonts w:ascii="仿宋_GB2312" w:hAnsi="仿宋_GB2312" w:cs="仿宋_GB2312" w:eastAsia="仿宋_GB2312"/>
                <w:sz w:val="20"/>
                <w:shd w:fill="FFFFFF" w:val="clear"/>
              </w:rPr>
              <w:t>本次密评的主要方式有：访谈、文档审查、配置审查、工具测试、实地察看。</w:t>
            </w:r>
          </w:p>
          <w:p>
            <w:pPr>
              <w:pStyle w:val="null3"/>
              <w:jc w:val="both"/>
            </w:pPr>
            <w:r>
              <w:rPr>
                <w:rFonts w:ascii="仿宋_GB2312" w:hAnsi="仿宋_GB2312" w:cs="仿宋_GB2312" w:eastAsia="仿宋_GB2312"/>
                <w:sz w:val="20"/>
                <w:b/>
                <w:shd w:fill="FFFFFF" w:val="clear"/>
              </w:rPr>
              <w:t>1.2.2.2</w:t>
            </w:r>
            <w:r>
              <w:rPr>
                <w:rFonts w:ascii="仿宋_GB2312" w:hAnsi="仿宋_GB2312" w:cs="仿宋_GB2312" w:eastAsia="仿宋_GB2312"/>
                <w:sz w:val="20"/>
                <w:b/>
                <w:shd w:fill="FFFFFF" w:val="clear"/>
              </w:rPr>
              <w:t>风险分析及防范措施</w:t>
            </w:r>
          </w:p>
          <w:p>
            <w:pPr>
              <w:pStyle w:val="null3"/>
              <w:jc w:val="both"/>
            </w:pP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应制定风险防范措施，针对测评阶段可能面临的风险制定风险规避措施，应包含测评环节各类常见风险。</w:t>
            </w:r>
          </w:p>
          <w:p>
            <w:pPr>
              <w:pStyle w:val="null3"/>
              <w:jc w:val="both"/>
            </w:pPr>
            <w:r>
              <w:rPr>
                <w:rFonts w:ascii="仿宋_GB2312" w:hAnsi="仿宋_GB2312" w:cs="仿宋_GB2312" w:eastAsia="仿宋_GB2312"/>
                <w:sz w:val="20"/>
                <w:b/>
                <w:shd w:fill="FFFFFF" w:val="clear"/>
              </w:rPr>
              <w:t>1.2.3.</w:t>
            </w:r>
            <w:r>
              <w:rPr>
                <w:rFonts w:ascii="仿宋_GB2312" w:hAnsi="仿宋_GB2312" w:cs="仿宋_GB2312" w:eastAsia="仿宋_GB2312"/>
                <w:sz w:val="20"/>
                <w:b/>
                <w:shd w:fill="FFFFFF" w:val="clear"/>
              </w:rPr>
              <w:t>测评指标</w:t>
            </w:r>
          </w:p>
          <w:p>
            <w:pPr>
              <w:pStyle w:val="null3"/>
              <w:jc w:val="both"/>
            </w:pPr>
            <w:r>
              <w:rPr>
                <w:rFonts w:ascii="仿宋_GB2312" w:hAnsi="仿宋_GB2312" w:cs="仿宋_GB2312" w:eastAsia="仿宋_GB2312"/>
                <w:sz w:val="20"/>
                <w:shd w:fill="FFFFFF" w:val="clear"/>
              </w:rPr>
              <w:t>依据信息系统确定的业务信息安全保护等级和系统服务安全保护等级，选择</w:t>
            </w:r>
            <w:r>
              <w:rPr>
                <w:rFonts w:ascii="仿宋_GB2312" w:hAnsi="仿宋_GB2312" w:cs="仿宋_GB2312" w:eastAsia="仿宋_GB2312"/>
                <w:sz w:val="20"/>
                <w:shd w:fill="FFFFFF" w:val="clear"/>
              </w:rPr>
              <w:t>GB/T 39786-2021《信息安全技术 信息系统密码应用基本要求》中对应级别的安全要求作为密码测评的基本指标。</w:t>
            </w:r>
          </w:p>
          <w:p>
            <w:pPr>
              <w:pStyle w:val="null3"/>
              <w:jc w:val="both"/>
            </w:pPr>
            <w:r>
              <w:rPr>
                <w:rFonts w:ascii="仿宋_GB2312" w:hAnsi="仿宋_GB2312" w:cs="仿宋_GB2312" w:eastAsia="仿宋_GB2312"/>
                <w:sz w:val="20"/>
                <w:shd w:fill="FFFFFF" w:val="clear"/>
              </w:rPr>
              <w:t>此次待测系统均为等保三级，本次测评指标范围</w:t>
            </w:r>
            <w:r>
              <w:rPr>
                <w:rFonts w:ascii="仿宋_GB2312" w:hAnsi="仿宋_GB2312" w:cs="仿宋_GB2312" w:eastAsia="仿宋_GB2312"/>
                <w:sz w:val="20"/>
                <w:shd w:fill="FFFFFF" w:val="clear"/>
              </w:rPr>
              <w:t>,如表1所示。</w:t>
            </w:r>
          </w:p>
          <w:p>
            <w:pPr>
              <w:pStyle w:val="null3"/>
              <w:jc w:val="both"/>
            </w:pPr>
            <w:r>
              <w:rPr>
                <w:rFonts w:ascii="仿宋_GB2312" w:hAnsi="仿宋_GB2312" w:cs="仿宋_GB2312" w:eastAsia="仿宋_GB2312"/>
                <w:sz w:val="20"/>
                <w:shd w:fill="FFFFFF" w:val="clear"/>
              </w:rPr>
              <w:t>测评范围内的测评指标：</w:t>
            </w:r>
          </w:p>
          <w:p>
            <w:pPr>
              <w:pStyle w:val="null3"/>
              <w:jc w:val="both"/>
            </w:pPr>
            <w:r>
              <w:rPr>
                <w:rFonts w:ascii="仿宋_GB2312" w:hAnsi="仿宋_GB2312" w:cs="仿宋_GB2312" w:eastAsia="仿宋_GB2312"/>
                <w:sz w:val="20"/>
                <w:shd w:fill="FFFFFF" w:val="clear"/>
              </w:rPr>
              <w:t>表</w:t>
            </w:r>
            <w:r>
              <w:rPr>
                <w:rFonts w:ascii="仿宋_GB2312" w:hAnsi="仿宋_GB2312" w:cs="仿宋_GB2312" w:eastAsia="仿宋_GB2312"/>
                <w:sz w:val="20"/>
                <w:shd w:fill="FFFFFF" w:val="clear"/>
              </w:rPr>
              <w:t>1　测评范围内测评指标列表</w:t>
            </w:r>
          </w:p>
          <w:tbl>
            <w:tblPr>
              <w:tblInd w:type="dxa" w:w="120"/>
              <w:tblBorders>
                <w:top w:val="none" w:color="000000" w:sz="4"/>
                <w:left w:val="none" w:color="000000" w:sz="4"/>
                <w:bottom w:val="none" w:color="000000" w:sz="4"/>
                <w:right w:val="none" w:color="000000" w:sz="4"/>
                <w:insideH w:val="none"/>
                <w:insideV w:val="none"/>
              </w:tblBorders>
            </w:tblPr>
            <w:tblGrid>
              <w:gridCol w:w="286"/>
              <w:gridCol w:w="638"/>
              <w:gridCol w:w="1610"/>
            </w:tblGrid>
            <w:tr>
              <w:tc>
                <w:tcPr>
                  <w:tcW w:type="dxa" w:w="2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序号</w:t>
                  </w:r>
                </w:p>
              </w:tc>
              <w:tc>
                <w:tcPr>
                  <w:tcW w:type="dxa" w:w="6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层面</w:t>
                  </w:r>
                </w:p>
              </w:tc>
              <w:tc>
                <w:tcPr>
                  <w:tcW w:type="dxa" w:w="16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测评指标</w:t>
                  </w:r>
                </w:p>
              </w:tc>
            </w:tr>
            <w:tr>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物理和环境安全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身份鉴别</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电子门禁记录数据完整性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视频记录数完整性</w:t>
                  </w:r>
                </w:p>
              </w:tc>
            </w:tr>
            <w:tr>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网络和通信安全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身份鉴别</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网络边界访问控制信息的完整性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通信数据完整性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通信数据机密性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安全接入认证</w:t>
                  </w:r>
                </w:p>
              </w:tc>
            </w:tr>
            <w:tr>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3</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设备和计算安全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身份鉴别</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远程管理通道安全</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系统资源访问控制信息完整性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重要信息资源安全标记完整性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日志记录完整性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重要可执行程序完整性、重要可执行程序来源真实性</w:t>
                  </w:r>
                </w:p>
              </w:tc>
            </w:tr>
            <w:tr>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4</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应用和数据安全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身份鉴别</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访问控制完整性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数据传输机密性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数据存储机密性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数据传输完整性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数据存储完整性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日志完整性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重要信息资源安全标记完整性</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不可否认性</w:t>
                  </w:r>
                </w:p>
              </w:tc>
            </w:tr>
            <w:tr>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5</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安全管理</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管理制度</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人员管理</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建设运行</w:t>
                  </w:r>
                </w:p>
              </w:tc>
            </w:tr>
            <w:tr>
              <w:tc>
                <w:tcPr>
                  <w:tcW w:type="dxa" w:w="286"/>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应急处置</w:t>
                  </w:r>
                </w:p>
              </w:tc>
            </w:tr>
          </w:tbl>
          <w:p>
            <w:pPr>
              <w:pStyle w:val="null3"/>
              <w:jc w:val="both"/>
            </w:pPr>
            <w:r>
              <w:rPr>
                <w:rFonts w:ascii="仿宋_GB2312" w:hAnsi="仿宋_GB2312" w:cs="仿宋_GB2312" w:eastAsia="仿宋_GB2312"/>
                <w:sz w:val="20"/>
                <w:b/>
                <w:shd w:fill="FFFFFF" w:val="clear"/>
              </w:rPr>
              <w:t>1.2.4</w:t>
            </w:r>
            <w:r>
              <w:rPr>
                <w:rFonts w:ascii="仿宋_GB2312" w:hAnsi="仿宋_GB2312" w:cs="仿宋_GB2312" w:eastAsia="仿宋_GB2312"/>
                <w:sz w:val="20"/>
                <w:b/>
                <w:shd w:fill="FFFFFF" w:val="clear"/>
              </w:rPr>
              <w:t>测评内容</w:t>
            </w:r>
          </w:p>
          <w:p>
            <w:pPr>
              <w:pStyle w:val="null3"/>
              <w:jc w:val="both"/>
            </w:pPr>
            <w:r>
              <w:rPr>
                <w:rFonts w:ascii="仿宋_GB2312" w:hAnsi="仿宋_GB2312" w:cs="仿宋_GB2312" w:eastAsia="仿宋_GB2312"/>
                <w:sz w:val="20"/>
                <w:shd w:fill="FFFFFF" w:val="clear"/>
              </w:rPr>
              <w:t>依据《信息安全技术信息系统密码应用基本要求》（</w:t>
            </w:r>
            <w:r>
              <w:rPr>
                <w:rFonts w:ascii="仿宋_GB2312" w:hAnsi="仿宋_GB2312" w:cs="仿宋_GB2312" w:eastAsia="仿宋_GB2312"/>
                <w:sz w:val="20"/>
                <w:shd w:fill="FFFFFF" w:val="clear"/>
              </w:rPr>
              <w:t>GB/T39786-2021）《信息安全技术 信息系统密码应用测评要求》（GB/T 43206-2023）和系统自身的安全性需求分析，对待测系统进行密评工作，服务内容包括：物理和环境安全测评、网络和通信安全测评、设备和计算安全测评、应用和数据安全测评，密钥管理测评、安全管理测评、整体测评与风险评估、提出系统整改建议等，结合量化评估准则，输出测评结果。</w:t>
            </w:r>
          </w:p>
          <w:p>
            <w:pPr>
              <w:pStyle w:val="null3"/>
              <w:jc w:val="both"/>
            </w:pPr>
            <w:r>
              <w:rPr>
                <w:rFonts w:ascii="仿宋_GB2312" w:hAnsi="仿宋_GB2312" w:cs="仿宋_GB2312" w:eastAsia="仿宋_GB2312"/>
                <w:sz w:val="20"/>
                <w:shd w:fill="FFFFFF" w:val="clear"/>
              </w:rPr>
              <w:t>根据项目内容要求，以电子版或纸版形式按需求输出成果，并针对</w:t>
            </w:r>
            <w:r>
              <w:rPr>
                <w:rFonts w:ascii="仿宋_GB2312" w:hAnsi="仿宋_GB2312" w:cs="仿宋_GB2312" w:eastAsia="仿宋_GB2312"/>
                <w:sz w:val="20"/>
                <w:shd w:fill="FFFFFF" w:val="clear"/>
              </w:rPr>
              <w:t>采购人</w:t>
            </w:r>
            <w:r>
              <w:rPr>
                <w:rFonts w:ascii="仿宋_GB2312" w:hAnsi="仿宋_GB2312" w:cs="仿宋_GB2312" w:eastAsia="仿宋_GB2312"/>
                <w:sz w:val="20"/>
                <w:shd w:fill="FFFFFF" w:val="clear"/>
              </w:rPr>
              <w:t>的咨询进行及时反馈，方式不限于现场支撑、邮件、电话或报告。</w:t>
            </w:r>
          </w:p>
          <w:p>
            <w:pPr>
              <w:pStyle w:val="null3"/>
              <w:jc w:val="both"/>
            </w:pPr>
            <w:r>
              <w:rPr>
                <w:rFonts w:ascii="仿宋_GB2312" w:hAnsi="仿宋_GB2312" w:cs="仿宋_GB2312" w:eastAsia="仿宋_GB2312"/>
                <w:sz w:val="20"/>
                <w:shd w:fill="FFFFFF" w:val="clear"/>
              </w:rPr>
              <w:t>密评现场工作完成后，立足于测评获取的数据记录、证据文件、信息资料等，对评估发现的问题提出整改建议，并按照国家密码管理局要求包含的内容或参考模板编制交付正式的密码应用安全性评估报告。</w:t>
            </w:r>
          </w:p>
          <w:p>
            <w:pPr>
              <w:pStyle w:val="null3"/>
              <w:jc w:val="both"/>
            </w:pPr>
            <w:r>
              <w:rPr>
                <w:rFonts w:ascii="仿宋_GB2312" w:hAnsi="仿宋_GB2312" w:cs="仿宋_GB2312" w:eastAsia="仿宋_GB2312"/>
                <w:sz w:val="20"/>
                <w:shd w:fill="FFFFFF" w:val="clear"/>
              </w:rPr>
              <w:t>该项目提交的文档包括但不限于：</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1）提交相关系统的《商用密码应用安全性评估报告》；</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2）整改建议书；</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3）其他服务资料等。</w:t>
            </w:r>
          </w:p>
          <w:p>
            <w:pPr>
              <w:pStyle w:val="null3"/>
              <w:jc w:val="both"/>
            </w:pPr>
            <w:r>
              <w:rPr>
                <w:rFonts w:ascii="仿宋_GB2312" w:hAnsi="仿宋_GB2312" w:cs="仿宋_GB2312" w:eastAsia="仿宋_GB2312"/>
                <w:sz w:val="20"/>
                <w:shd w:fill="FFFFFF" w:val="clear"/>
              </w:rPr>
              <w:t>提交形式：纸质资料一式三份，电子版资料一份。</w:t>
            </w:r>
          </w:p>
          <w:p>
            <w:pPr>
              <w:pStyle w:val="null3"/>
              <w:jc w:val="both"/>
            </w:pPr>
            <w:r>
              <w:rPr>
                <w:rFonts w:ascii="仿宋_GB2312" w:hAnsi="仿宋_GB2312" w:cs="仿宋_GB2312" w:eastAsia="仿宋_GB2312"/>
                <w:sz w:val="20"/>
                <w:shd w:fill="FFFFFF" w:val="clear"/>
              </w:rPr>
              <w:t>服务期限内，提供密码应用安全性评估相关问题的咨询；</w:t>
            </w:r>
            <w:r>
              <w:rPr>
                <w:rFonts w:ascii="仿宋_GB2312" w:hAnsi="仿宋_GB2312" w:cs="仿宋_GB2312" w:eastAsia="仿宋_GB2312"/>
                <w:sz w:val="20"/>
                <w:shd w:fill="FFFFFF" w:val="clear"/>
              </w:rPr>
              <w:t>协助采购人</w:t>
            </w:r>
            <w:r>
              <w:rPr>
                <w:rFonts w:ascii="仿宋_GB2312" w:hAnsi="仿宋_GB2312" w:cs="仿宋_GB2312" w:eastAsia="仿宋_GB2312"/>
                <w:sz w:val="20"/>
                <w:shd w:fill="FFFFFF" w:val="clear"/>
              </w:rPr>
              <w:t>进行密码应用安全性评估相关备案、培训等工作。</w:t>
            </w:r>
          </w:p>
          <w:p>
            <w:pPr>
              <w:pStyle w:val="null3"/>
              <w:jc w:val="both"/>
            </w:pPr>
            <w:r>
              <w:rPr>
                <w:rFonts w:ascii="仿宋_GB2312" w:hAnsi="仿宋_GB2312" w:cs="仿宋_GB2312" w:eastAsia="仿宋_GB2312"/>
                <w:sz w:val="20"/>
                <w:b/>
                <w:shd w:fill="FFFFFF" w:val="clear"/>
              </w:rPr>
              <w:t>1.3.</w:t>
            </w:r>
            <w:r>
              <w:rPr>
                <w:rFonts w:ascii="仿宋_GB2312" w:hAnsi="仿宋_GB2312" w:cs="仿宋_GB2312" w:eastAsia="仿宋_GB2312"/>
                <w:sz w:val="20"/>
                <w:b/>
                <w:shd w:fill="FFFFFF" w:val="clear"/>
              </w:rPr>
              <w:t>测评实施流程</w:t>
            </w:r>
          </w:p>
          <w:p>
            <w:pPr>
              <w:pStyle w:val="null3"/>
              <w:jc w:val="both"/>
            </w:pPr>
            <w:r>
              <w:drawing>
                <wp:inline distT="0" distR="0" distB="0" distL="0">
                  <wp:extent cx="1621155" cy="284091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840910"/>
                          </a:xfrm>
                          <a:prstGeom prst="rect">
                            <a:avLst/>
                          </a:prstGeom>
                        </pic:spPr>
                      </pic:pic>
                    </a:graphicData>
                  </a:graphic>
                </wp:inline>
              </w:drawing>
            </w:r>
          </w:p>
          <w:p>
            <w:pPr>
              <w:pStyle w:val="null3"/>
              <w:jc w:val="both"/>
            </w:pPr>
            <w:r>
              <w:rPr>
                <w:rFonts w:ascii="仿宋_GB2312" w:hAnsi="仿宋_GB2312" w:cs="仿宋_GB2312" w:eastAsia="仿宋_GB2312"/>
                <w:sz w:val="20"/>
                <w:b/>
                <w:shd w:fill="FFFFFF" w:val="clear"/>
              </w:rPr>
              <w:t>1.4项目实施计划</w:t>
            </w:r>
          </w:p>
          <w:p>
            <w:pPr>
              <w:pStyle w:val="null3"/>
              <w:jc w:val="both"/>
            </w:pPr>
            <w:r>
              <w:rPr>
                <w:rFonts w:ascii="仿宋_GB2312" w:hAnsi="仿宋_GB2312" w:cs="仿宋_GB2312" w:eastAsia="仿宋_GB2312"/>
                <w:sz w:val="20"/>
                <w:shd w:fill="FFFFFF" w:val="clear"/>
              </w:rPr>
              <w:t>附：</w:t>
            </w:r>
            <w:r>
              <w:rPr>
                <w:rFonts w:ascii="仿宋_GB2312" w:hAnsi="仿宋_GB2312" w:cs="仿宋_GB2312" w:eastAsia="仿宋_GB2312"/>
                <w:sz w:val="20"/>
                <w:shd w:fill="FFFFFF" w:val="clear"/>
              </w:rPr>
              <w:t>项目实施计划表</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569"/>
              <w:gridCol w:w="1468"/>
            </w:tblGrid>
            <w:tr>
              <w:tc>
                <w:tcPr>
                  <w:tcW w:type="dxa" w:w="5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阶段</w:t>
                  </w:r>
                </w:p>
              </w:tc>
              <w:tc>
                <w:tcPr>
                  <w:tcW w:type="dxa" w:w="2037"/>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任务</w:t>
                  </w:r>
                </w:p>
              </w:tc>
            </w:tr>
            <w:tr>
              <w:tc>
                <w:tcPr>
                  <w:tcW w:type="dxa" w:w="5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测评准备阶段</w:t>
                  </w:r>
                </w:p>
              </w:tc>
              <w:tc>
                <w:tcPr>
                  <w:tcW w:type="dxa" w:w="56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实施方案制定</w:t>
                  </w:r>
                </w:p>
              </w:tc>
              <w:tc>
                <w:tcPr>
                  <w:tcW w:type="dxa" w:w="14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内部项目启动会议</w:t>
                  </w:r>
                </w:p>
              </w:tc>
            </w:tr>
            <w:tr>
              <w:tc>
                <w:tcPr>
                  <w:tcW w:type="dxa" w:w="515"/>
                  <w:vMerge/>
                  <w:tcBorders>
                    <w:top w:val="none" w:color="000000" w:sz="4"/>
                    <w:left w:val="single" w:color="000000" w:sz="4"/>
                    <w:bottom w:val="single" w:color="000000" w:sz="4"/>
                    <w:right w:val="single" w:color="000000" w:sz="4"/>
                  </w:tcBorders>
                </w:tcPr>
                <w:p/>
              </w:tc>
              <w:tc>
                <w:tcPr>
                  <w:tcW w:type="dxa" w:w="569"/>
                  <w:vMerge/>
                  <w:tcBorders>
                    <w:top w:val="none" w:color="000000" w:sz="4"/>
                    <w:left w:val="single" w:color="000000" w:sz="4"/>
                    <w:bottom w:val="single" w:color="000000" w:sz="4"/>
                    <w:right w:val="single" w:color="000000" w:sz="4"/>
                  </w:tcBorders>
                </w:tcP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根据系统规模成立项目组、编制项目计划书</w:t>
                  </w:r>
                </w:p>
              </w:tc>
            </w:tr>
            <w:tr>
              <w:tc>
                <w:tcPr>
                  <w:tcW w:type="dxa" w:w="515"/>
                  <w:vMerge/>
                  <w:tcBorders>
                    <w:top w:val="none" w:color="000000" w:sz="4"/>
                    <w:left w:val="single" w:color="000000" w:sz="4"/>
                    <w:bottom w:val="single" w:color="000000" w:sz="4"/>
                    <w:right w:val="single" w:color="000000" w:sz="4"/>
                  </w:tcBorders>
                </w:tcPr>
                <w:p/>
              </w:tc>
              <w:tc>
                <w:tcPr>
                  <w:tcW w:type="dxa" w:w="569"/>
                  <w:vMerge/>
                  <w:tcBorders>
                    <w:top w:val="none" w:color="000000" w:sz="4"/>
                    <w:left w:val="single" w:color="000000" w:sz="4"/>
                    <w:bottom w:val="single" w:color="000000" w:sz="4"/>
                    <w:right w:val="single" w:color="000000" w:sz="4"/>
                  </w:tcBorders>
                </w:tcP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与被测方沟通，填写信息采集表</w:t>
                  </w:r>
                </w:p>
              </w:tc>
            </w:tr>
            <w:tr>
              <w:tc>
                <w:tcPr>
                  <w:tcW w:type="dxa" w:w="515"/>
                  <w:vMerge/>
                  <w:tcBorders>
                    <w:top w:val="none" w:color="000000" w:sz="4"/>
                    <w:left w:val="single" w:color="000000" w:sz="4"/>
                    <w:bottom w:val="single" w:color="000000" w:sz="4"/>
                    <w:right w:val="single" w:color="000000" w:sz="4"/>
                  </w:tcBorders>
                </w:tcPr>
                <w:p/>
              </w:tc>
              <w:tc>
                <w:tcPr>
                  <w:tcW w:type="dxa" w:w="569"/>
                  <w:vMerge/>
                  <w:tcBorders>
                    <w:top w:val="none" w:color="000000" w:sz="4"/>
                    <w:left w:val="single" w:color="000000" w:sz="4"/>
                    <w:bottom w:val="single" w:color="000000" w:sz="4"/>
                    <w:right w:val="single" w:color="000000" w:sz="4"/>
                  </w:tcBorders>
                </w:tcP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实施方案编写</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测评对象确定</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被测系统整体结构、边界、网络区域、重要节点、测评对象等</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测评指标确定</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选择相应等级的安全要求作为测评指标</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测评工具接入点确定</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结合网络拓扑图，选择测试路径</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测试内容确定</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确定单元测评</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测评方案编制</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测评内容、测评实施计划</w:t>
                  </w:r>
                </w:p>
              </w:tc>
            </w:tr>
            <w:tr>
              <w:tc>
                <w:tcPr>
                  <w:tcW w:type="dxa" w:w="5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现场测评阶段</w:t>
                  </w: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现场测评准备</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召开现场首次会议。授权书、确认资源、必要的测评程序更新</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现场测评和结果记录</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人员访谈、文档审查、上机验证、工具测试</w:t>
                  </w:r>
                </w:p>
              </w:tc>
            </w:tr>
            <w:tr>
              <w:tc>
                <w:tcPr>
                  <w:tcW w:type="dxa" w:w="515"/>
                  <w:vMerge/>
                  <w:tcBorders>
                    <w:top w:val="none" w:color="000000" w:sz="4"/>
                    <w:left w:val="single" w:color="000000" w:sz="4"/>
                    <w:bottom w:val="single" w:color="000000" w:sz="4"/>
                    <w:right w:val="single" w:color="000000" w:sz="4"/>
                  </w:tcBorders>
                </w:tcPr>
                <w:p/>
              </w:tc>
              <w:tc>
                <w:tcPr>
                  <w:tcW w:type="dxa" w:w="5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结果确认和资料归还</w:t>
                  </w:r>
                </w:p>
              </w:tc>
              <w:tc>
                <w:tcPr>
                  <w:tcW w:type="dxa" w:w="1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召开现场结束会议，确认现场问题。</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非现场综合</w:t>
                  </w:r>
                </w:p>
              </w:tc>
              <w:tc>
                <w:tcPr>
                  <w:tcW w:type="dxa" w:w="203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结果判断、整体测评、风险分析</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报告出具阶段</w:t>
                  </w:r>
                </w:p>
              </w:tc>
              <w:tc>
                <w:tcPr>
                  <w:tcW w:type="dxa" w:w="203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综合评估及报告生成</w:t>
                  </w:r>
                </w:p>
              </w:tc>
            </w:tr>
          </w:tbl>
          <w:p>
            <w:pPr>
              <w:pStyle w:val="null3"/>
              <w:jc w:val="both"/>
            </w:pPr>
            <w:r>
              <w:rPr>
                <w:rFonts w:ascii="仿宋_GB2312" w:hAnsi="仿宋_GB2312" w:cs="仿宋_GB2312" w:eastAsia="仿宋_GB2312"/>
                <w:sz w:val="20"/>
                <w:b/>
                <w:shd w:fill="FFFFFF" w:val="clear"/>
              </w:rPr>
              <w:t>1.5预期成果交付物及服务期限、付款方式</w:t>
            </w:r>
          </w:p>
          <w:p>
            <w:pPr>
              <w:pStyle w:val="null3"/>
              <w:jc w:val="both"/>
            </w:pPr>
            <w:r>
              <w:rPr>
                <w:rFonts w:ascii="仿宋_GB2312" w:hAnsi="仿宋_GB2312" w:cs="仿宋_GB2312" w:eastAsia="仿宋_GB2312"/>
                <w:sz w:val="20"/>
                <w:shd w:fill="FFFFFF" w:val="clear"/>
              </w:rPr>
              <w:t>密码测评工作结束后，根据测评内容记录系统的密码应用现状，出具系统的《商用密码应用安全性评</w:t>
            </w:r>
            <w:r>
              <w:rPr>
                <w:rFonts w:ascii="仿宋_GB2312" w:hAnsi="仿宋_GB2312" w:cs="仿宋_GB2312" w:eastAsia="仿宋_GB2312"/>
                <w:sz w:val="20"/>
                <w:shd w:fill="FFFFFF" w:val="clear"/>
              </w:rPr>
              <w:t>估报告》。测评报告中以密码应用基本要求为基准，逐项比对被测系统密码应用的符合性、规范性和正确性，对与标准存在差异的检查项。</w:t>
            </w:r>
          </w:p>
          <w:tbl>
            <w:tblPr>
              <w:tblBorders>
                <w:top w:val="none" w:color="000000" w:sz="4"/>
                <w:left w:val="none" w:color="000000" w:sz="4"/>
                <w:bottom w:val="none" w:color="000000" w:sz="4"/>
                <w:right w:val="none" w:color="000000" w:sz="4"/>
                <w:insideH w:val="none"/>
                <w:insideV w:val="none"/>
              </w:tblBorders>
            </w:tblPr>
            <w:tblGrid>
              <w:gridCol w:w="269"/>
              <w:gridCol w:w="1479"/>
              <w:gridCol w:w="691"/>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序号</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交付物名称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介质形式</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《商用密码应用安全性评估报告》</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《整改建议书》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自采购人通知入场评测之日起 30 个自然日内出具《信息系统等级保护测评报告》和《整改建议书》。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自采购人通知入场评测之日起 30 个自然日内出具《商用密码应用安全性评估报告》和《整改建议书》。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（1）验收方法：项目交付后，由采购人根据合同、采购文件、响应文件组织验收；（2）验收标准：按照合约定，符合国家相关规定及相关技术要求，同时完全满足采购人提出的工作需要； （3）其他要求：验收不合格时，采购人和供应商应协商一致，供应商应根据相关验收证明材料及时补足或整改，费用由供应商自行承担。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（1）验收方法：项目交付后，由采购人根据合同、采购文件、响应文件组织验收；（2）验收标准：按照合约定，符合国家相关规定及相关技术要求，同时完全满足采购人提出的工作需要； （3）其他要求：验收不合格时，采购人和供应商应协商一致，供应商应根据相关验收证明材料及时补足或整改，费用由供应商自行承担。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合同生效后，采购人在收到供应商提供的税务部门认可的有效发票之日起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通过验收并经采购人确认后，采购人在收到供应商提供的税务部门认可的有效发票之日起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合同生效后，采购人在收到供应商提供的税务部门认可的有效发票之日起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通过验收并经采购人确认后，采购人在收到供应商提供的税务部门认可的有效发票之日起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8月1日以来至少一个月的纳税证明或完税证明，纳税证明或完税证明上应有代收机构或税务机关的公章或业务专用章；其他组织和自然人提供自2024年8月1日以来至少一个月缴纳税收的凭据；依法免税的或者依法不需缴税的供应商应提供相关文件证明； ③社会保障资金缴纳证明：提供自2024年8月1日以来至少一个月已缴纳的社会保障资金的证明（社会保障资金缴存单据或社保机构开具 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2025年2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8月1日以来至少一个月的纳税证明或完税证明，纳税证明或完税证明上应有代收机构或税务机关的公章或业务专用章；其他组织和自然人提供自2024年8月1日以来至少一个月缴纳税收的凭据；依法免税的或者依法不需缴税的供应商应提供相关文件证明； ③社会保障资金缴纳证明：提供自2024年8月1日以来至少一个月已缴纳的社会保障资金的证明（社会保障资金缴存单据或社保机构开具 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2025年2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供应商证书要求</w:t>
            </w:r>
          </w:p>
        </w:tc>
        <w:tc>
          <w:tcPr>
            <w:tcW w:type="dxa" w:w="3322"/>
          </w:tcPr>
          <w:p>
            <w:pPr>
              <w:pStyle w:val="null3"/>
            </w:pPr>
            <w:r>
              <w:rPr>
                <w:rFonts w:ascii="仿宋_GB2312" w:hAnsi="仿宋_GB2312" w:cs="仿宋_GB2312" w:eastAsia="仿宋_GB2312"/>
              </w:rPr>
              <w:t>供应商须具备《网络安全等级测评与检测评估机构服务认证证书》。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供应商证书要求</w:t>
            </w:r>
          </w:p>
        </w:tc>
        <w:tc>
          <w:tcPr>
            <w:tcW w:type="dxa" w:w="3322"/>
          </w:tcPr>
          <w:p>
            <w:pPr>
              <w:pStyle w:val="null3"/>
            </w:pPr>
            <w:r>
              <w:rPr>
                <w:rFonts w:ascii="仿宋_GB2312" w:hAnsi="仿宋_GB2312" w:cs="仿宋_GB2312" w:eastAsia="仿宋_GB2312"/>
              </w:rPr>
              <w:t>供应商须具备国家密码管理局颁发的《商用密码检测机构资质证书》。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服务响应偏离表.docx 标的清单 报价表 供应商资格证明文件.docx 商务部分偏离表.docx 响应函 监狱企业的证明文件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满足本磋商文件中标注的实质性条款（服务期限、服务地点、支付约定）要求的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服务响应偏离表.docx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服务响应偏离表.docx 标的清单 报价表 供应商资格证明文件.docx 商务部分偏离表.docx 响应函 监狱企业的证明文件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满足本磋商文件中标注的实质性条款（服务期限、服务地点、支付约定）要求的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对项目背景认识和服务内容理解</w:t>
            </w:r>
          </w:p>
        </w:tc>
        <w:tc>
          <w:tcPr>
            <w:tcW w:type="dxa" w:w="2492"/>
          </w:tcPr>
          <w:p>
            <w:pPr>
              <w:pStyle w:val="null3"/>
            </w:pPr>
            <w:r>
              <w:rPr>
                <w:rFonts w:ascii="仿宋_GB2312" w:hAnsi="仿宋_GB2312" w:cs="仿宋_GB2312" w:eastAsia="仿宋_GB2312"/>
              </w:rPr>
              <w:t>根据供应商提供的对本项目背景、项目内容及工作相关规范的理解进行综合评审，并提供项目目标分析，有利于项目实施。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涉及的规范、标准与本项目要求不一致；内容不符合本项目要求或国家强制规定等任意一种情形。（下述评审标准中关于备注内容及“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1对项目背景认识和服务内容理解.docx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根据供应商提供的针对本项目的重点难点分析及解决措施进行综合评审：要求重点难点分析到位，解决措施详细，贴合项目需求；对可能发生的重难点及技术问题提供预案。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2项目重点难点分析及应对措施.docx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需求，供应商提供切实可行的整体实施方案，包含但不限于项目工作技术路线及方法（单元测评、整体测评、渗透测试服务）、物理环境部署、系统部署、通信网络传输保障等内容。要求内容完全切合本项目实际情况，满足测评指标。 完全满足需求，无瑕疵计15分； 内容存在1处瑕疵计13分； 内容存在2处瑕疵计11分； 内容存在3处瑕疵计9分； 内容存在4处瑕疵计7分； 内容存在5处瑕疵计5分； 内容存在6处瑕疵计3分；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3整体实施方案.docx</w:t>
            </w:r>
          </w:p>
        </w:tc>
      </w:tr>
      <w:tr>
        <w:tc>
          <w:tcPr>
            <w:tcW w:type="dxa" w:w="831"/>
            <w:vMerge/>
          </w:tcPr>
          <w:p/>
        </w:tc>
        <w:tc>
          <w:tcPr>
            <w:tcW w:type="dxa" w:w="1661"/>
          </w:tcPr>
          <w:p>
            <w:pPr>
              <w:pStyle w:val="null3"/>
            </w:pPr>
            <w:r>
              <w:rPr>
                <w:rFonts w:ascii="仿宋_GB2312" w:hAnsi="仿宋_GB2312" w:cs="仿宋_GB2312" w:eastAsia="仿宋_GB2312"/>
              </w:rPr>
              <w:t>信息安全保障方案</w:t>
            </w:r>
          </w:p>
        </w:tc>
        <w:tc>
          <w:tcPr>
            <w:tcW w:type="dxa" w:w="2492"/>
          </w:tcPr>
          <w:p>
            <w:pPr>
              <w:pStyle w:val="null3"/>
            </w:pPr>
            <w:r>
              <w:rPr>
                <w:rFonts w:ascii="仿宋_GB2312" w:hAnsi="仿宋_GB2312" w:cs="仿宋_GB2312" w:eastAsia="仿宋_GB2312"/>
              </w:rPr>
              <w:t>供应商针对本项目需求制定信息安全保障方案，包含但不限于安全管理制度、运维安全管理、系统安全保障措施及方法等，方案内容完全切合本项目实际情况。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4信息安全保障方案.docx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供应商针对本项目制定质量保障方案，包含但不限于项目质量保障体系、质量管控要求及质量控制措施等内容，方案措施内容完全切合本项目实际情况。 完全满足需求，无瑕疵计4分； 内容存在1处瑕疵计3分； 内容存在2处瑕疵计2分； 内容存在3处瑕疵计1分； 内容存在4处及以上瑕疵或未提供方案计0分。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针对本项目服务期要求，供应商提供服务进度保障方案，包括但不限于项目执行组织措施、进度计划及控制措施等内容。 完全满足需求，无瑕疵计4分； 内容存在1处瑕疵计3分； 内容存在2处瑕疵计2分； 内容存在3处瑕疵计1分； 内容存在4处及以上瑕疵或未提供方案计0分。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6进度保障方案.docx</w:t>
            </w:r>
          </w:p>
        </w:tc>
      </w:tr>
      <w:tr>
        <w:tc>
          <w:tcPr>
            <w:tcW w:type="dxa" w:w="831"/>
            <w:vMerge/>
          </w:tcPr>
          <w:p/>
        </w:tc>
        <w:tc>
          <w:tcPr>
            <w:tcW w:type="dxa" w:w="1661"/>
          </w:tcPr>
          <w:p>
            <w:pPr>
              <w:pStyle w:val="null3"/>
            </w:pPr>
            <w:r>
              <w:rPr>
                <w:rFonts w:ascii="仿宋_GB2312" w:hAnsi="仿宋_GB2312" w:cs="仿宋_GB2312" w:eastAsia="仿宋_GB2312"/>
              </w:rPr>
              <w:t>成果交付及验收方案</w:t>
            </w:r>
          </w:p>
        </w:tc>
        <w:tc>
          <w:tcPr>
            <w:tcW w:type="dxa" w:w="2492"/>
          </w:tcPr>
          <w:p>
            <w:pPr>
              <w:pStyle w:val="null3"/>
            </w:pPr>
            <w:r>
              <w:rPr>
                <w:rFonts w:ascii="仿宋_GB2312" w:hAnsi="仿宋_GB2312" w:cs="仿宋_GB2312" w:eastAsia="仿宋_GB2312"/>
              </w:rPr>
              <w:t>针对本项目需求，供应商应提交符合采购人要求的成果资料，并提供验收方案，保证项目顺利完成验收。 完全满足需求，无瑕疵计4分； 内容存在1处瑕疵计3分； 内容存在2处瑕疵计2分； 内容存在3处瑕疵计1分； 内容存在4处及以上瑕疵或未提供方案计0分。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7成果交付及验收方案.docx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针对本项目需求，供应商提供保密方案。 完全满足需求，无瑕疵计4分； 内容存在1处瑕疵计3分； 内容存在2处瑕疵计2分； 内容存在3处瑕疵计1分； 内容存在4处及以上瑕疵或未提供方案计0分。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8保密方案.docx</w:t>
            </w:r>
          </w:p>
        </w:tc>
      </w:tr>
      <w:tr>
        <w:tc>
          <w:tcPr>
            <w:tcW w:type="dxa" w:w="831"/>
            <w:vMerge/>
          </w:tcPr>
          <w:p/>
        </w:tc>
        <w:tc>
          <w:tcPr>
            <w:tcW w:type="dxa" w:w="1661"/>
          </w:tcPr>
          <w:p>
            <w:pPr>
              <w:pStyle w:val="null3"/>
            </w:pPr>
            <w:r>
              <w:rPr>
                <w:rFonts w:ascii="仿宋_GB2312" w:hAnsi="仿宋_GB2312" w:cs="仿宋_GB2312" w:eastAsia="仿宋_GB2312"/>
              </w:rPr>
              <w:t>服务认证</w:t>
            </w:r>
          </w:p>
        </w:tc>
        <w:tc>
          <w:tcPr>
            <w:tcW w:type="dxa" w:w="2492"/>
          </w:tcPr>
          <w:p>
            <w:pPr>
              <w:pStyle w:val="null3"/>
            </w:pPr>
            <w:r>
              <w:rPr>
                <w:rFonts w:ascii="仿宋_GB2312" w:hAnsi="仿宋_GB2312" w:cs="仿宋_GB2312" w:eastAsia="仿宋_GB2312"/>
              </w:rPr>
              <w:t>《信息安全管理体系认证证书-ISO27001》、《信息技术服务管理体系认证证书—ISO20000》、《信息安全应急处理服务资质》、《信息安全风险评估服务资质》，每提供一个计0.5分，满分2分。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9服务认证.docx</w:t>
            </w:r>
          </w:p>
        </w:tc>
      </w:tr>
      <w:tr>
        <w:tc>
          <w:tcPr>
            <w:tcW w:type="dxa" w:w="831"/>
            <w:vMerge/>
          </w:tcPr>
          <w:p/>
        </w:tc>
        <w:tc>
          <w:tcPr>
            <w:tcW w:type="dxa" w:w="1661"/>
          </w:tcPr>
          <w:p>
            <w:pPr>
              <w:pStyle w:val="null3"/>
            </w:pPr>
            <w:r>
              <w:rPr>
                <w:rFonts w:ascii="仿宋_GB2312" w:hAnsi="仿宋_GB2312" w:cs="仿宋_GB2312" w:eastAsia="仿宋_GB2312"/>
              </w:rPr>
              <w:t>项目团队成员资质</w:t>
            </w:r>
          </w:p>
        </w:tc>
        <w:tc>
          <w:tcPr>
            <w:tcW w:type="dxa" w:w="2492"/>
          </w:tcPr>
          <w:p>
            <w:pPr>
              <w:pStyle w:val="null3"/>
            </w:pPr>
            <w:r>
              <w:rPr>
                <w:rFonts w:ascii="仿宋_GB2312" w:hAnsi="仿宋_GB2312" w:cs="仿宋_GB2312" w:eastAsia="仿宋_GB2312"/>
              </w:rPr>
              <w:t>本项目应至少配备7人现场实施团队。 1.项目负责人：拟派项目负责人具备高级网络安全等级测评师证书的计2分。 2.团队成员（项目负责人除外）： ①提供具备网络安全等级测评师中级及以上职称的人员，每提供一名计1分，最高3分； ②提供具备网络安全等级测评师初级职称的人员，每提供一名计0.5分，最高1.5分。 3.以上团队成员中，具备注册信息安全人员资质（CISP）计1分； 4.以上团队成员中，具备信息安全保障人员证书（CISAW）计1.5分； 5.以上团队成员中，每有1名具备注册信息安全专业人员渗透测试工程师计0.5分，最高1分。 注：提供证书复印件加盖公章；提供以上人员本单位员工证明，包括但不限于劳动合同等。否则不计分。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10项目团队成员资质.docx</w:t>
            </w:r>
          </w:p>
        </w:tc>
      </w:tr>
      <w:tr>
        <w:tc>
          <w:tcPr>
            <w:tcW w:type="dxa" w:w="831"/>
            <w:vMerge/>
          </w:tcPr>
          <w:p/>
        </w:tc>
        <w:tc>
          <w:tcPr>
            <w:tcW w:type="dxa" w:w="1661"/>
          </w:tcPr>
          <w:p>
            <w:pPr>
              <w:pStyle w:val="null3"/>
            </w:pPr>
            <w:r>
              <w:rPr>
                <w:rFonts w:ascii="仿宋_GB2312" w:hAnsi="仿宋_GB2312" w:cs="仿宋_GB2312" w:eastAsia="仿宋_GB2312"/>
              </w:rPr>
              <w:t>团队人员清单及简历</w:t>
            </w:r>
          </w:p>
        </w:tc>
        <w:tc>
          <w:tcPr>
            <w:tcW w:type="dxa" w:w="2492"/>
          </w:tcPr>
          <w:p>
            <w:pPr>
              <w:pStyle w:val="null3"/>
            </w:pPr>
            <w:r>
              <w:rPr>
                <w:rFonts w:ascii="仿宋_GB2312" w:hAnsi="仿宋_GB2312" w:cs="仿宋_GB2312" w:eastAsia="仿宋_GB2312"/>
              </w:rPr>
              <w:t>供应商拟派服务团队成员具有与本项目同类项目测评经验。提供明确的项目服务团队清单及简历（至少应有：具体成员姓名、年龄、职责、工作经验），并提供相应证明材料。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11团队人员清单及简历.docx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供应商须针对本项目需求提供售后服务方案，包括但不限于应急响应及应急处理、安全咨询服务、网络与信息安全信息通报服务、电话支持服务等内容。 完全满足需求，无瑕疵计5分； 内容存在1处瑕疵计4分； 内容存在2处瑕疵计3分； 内容存在3处瑕疵计2分； 内容存在4处瑕疵计1分； 内容存在5处及以上瑕疵或未提供方案计0分。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1.供应商承诺在项目实施过程中对采购人提供的信息及相关资料进行保密，并配合签订保密协议。 2.为保障服务，供应商承诺与采购人签订现场评测授权书、风险预判告知书。 3.供应商承诺拟派驻场测评师与响应文件中配备人员保持一致，如因工作调配需更换测评师，需提前 10 个工作日向采购人信息部门负责人员书面报备，并提供更换测评师资质证明。 4.供应商承诺在中标后，协助采购人开展备案资料梳理工作，并协助采购人取得公安部门办理的等级保护备案证。 5.供应商承诺在服务过程中需服从陕西省市场监督管理局业务信息系统的统一协调，且必须在项目实施期间由服务商派驻有丰富实施经验的测评师为项目实施团队，全程参与项目实施，现场检测工时必须符合国家相关标准 注：以上承诺均需提供单独且响应内容具体的承诺函加盖供应商公章，每响应以上1项内容得1分，最多5分。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提供供应商2022年1月1日至今同类项目合同，每提供1个得1分，满分5分。（以合同签订日期为准）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对项目背景认识和服务内容理解</w:t>
            </w:r>
          </w:p>
        </w:tc>
        <w:tc>
          <w:tcPr>
            <w:tcW w:type="dxa" w:w="2492"/>
          </w:tcPr>
          <w:p>
            <w:pPr>
              <w:pStyle w:val="null3"/>
            </w:pPr>
            <w:r>
              <w:rPr>
                <w:rFonts w:ascii="仿宋_GB2312" w:hAnsi="仿宋_GB2312" w:cs="仿宋_GB2312" w:eastAsia="仿宋_GB2312"/>
              </w:rPr>
              <w:t>根据供应商提供的对本项目背景、项目内容及工作相关规范的理解进行综合评审，并提供项目目标分析，有利于项目实施。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涉及的规范、标准与本项目要求不一致；内容不符合本项目要求或国家强制规定等任意一种情形。（下述评审标准中关于备注内容及“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1对项目背景认识和服务内容理解.docx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根据供应商提供的针对本项目的重点难点分析及解决措施进行综合评审：要求重点难点分析到位，解决措施详细，贴合项目需求；对可能发生的重难点及技术问题提供预案。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2项目重点难点分析及应对措施.docx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需求，供应商提供切实可行的整体实施方案，包含但不限于物理和环境安全测评、网络和通信安全测评、设备和计算安全测评、应用和数据安全测评，密钥管理测评、安全管理测评、整体测评与风险评估、提出系统整改建议等内容。要求内容完全切合本项目实际情况，完成测评指标。 完全满足需求，无瑕疵计15分； 内容存在1处瑕疵计13分； 内容存在2处瑕疵计11分； 内容存在3处瑕疵计9分； 内容存在4处瑕疵计7分； 内容存在5处瑕疵计5分； 内容存在6处瑕疵计3分；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3整体实施方案.docx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供应商针对本项目需求制定安全保障方案，包含但不限于安全管理制度、运维安全管理、系统安全保障措施及方法等，方案内容完全切合本项目实际情况。 完全满足需求，无瑕疵计8分； 内容存在1处瑕疵计7分； 内容存在2处瑕疵计6分； 内容存在3处瑕疵计5分； 内容存在4处瑕疵计4分； 内容存在5处瑕疵计3分； 内容存在6处瑕疵计2分； 内容存在7处瑕疵计1分； 内容存在8处及以上瑕疵或未提供方案计0分。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供应商针对本项目制定质量保障方案，包含但不限于项目质量保障体系、质量管控要求及质量控制措施等内容，方案措施内容完全切合本项目实际情况。 完全满足需求，无瑕疵计7分； 内容存在1处瑕疵计6分； 内容存在2处瑕疵计5分； 内容存在3处瑕疵计4分； 内容存在4处瑕疵计3分； 内容存在5处瑕疵计2分； 内容存在6处瑕疵计1分； 内容存在7处及以上瑕疵或未提供方案计0分。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针对本项目服务期要求，供应商提供服务进度保障方案，包括但不限于项目执行组织措施、进度计划及控制措施等内容。 完全满足需求，无瑕疵计6分； 内容存在1处瑕疵计5分； 内容存在2处瑕疵计4分； 内容存在3处瑕疵计3分； 内容存在4处瑕疵计2分； 内容存在5处瑕疵计1分； 内容存在6处及以上瑕疵或未提供方案计0分。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6进度保障方案.docx</w:t>
            </w:r>
          </w:p>
        </w:tc>
      </w:tr>
      <w:tr>
        <w:tc>
          <w:tcPr>
            <w:tcW w:type="dxa" w:w="831"/>
            <w:vMerge/>
          </w:tcPr>
          <w:p/>
        </w:tc>
        <w:tc>
          <w:tcPr>
            <w:tcW w:type="dxa" w:w="1661"/>
          </w:tcPr>
          <w:p>
            <w:pPr>
              <w:pStyle w:val="null3"/>
            </w:pPr>
            <w:r>
              <w:rPr>
                <w:rFonts w:ascii="仿宋_GB2312" w:hAnsi="仿宋_GB2312" w:cs="仿宋_GB2312" w:eastAsia="仿宋_GB2312"/>
              </w:rPr>
              <w:t>成果交付及验收方案</w:t>
            </w:r>
          </w:p>
        </w:tc>
        <w:tc>
          <w:tcPr>
            <w:tcW w:type="dxa" w:w="2492"/>
          </w:tcPr>
          <w:p>
            <w:pPr>
              <w:pStyle w:val="null3"/>
            </w:pPr>
            <w:r>
              <w:rPr>
                <w:rFonts w:ascii="仿宋_GB2312" w:hAnsi="仿宋_GB2312" w:cs="仿宋_GB2312" w:eastAsia="仿宋_GB2312"/>
              </w:rPr>
              <w:t>针对本项目需求，供应商应提交符合采购人要求的电子版或纸版形式成果资料，并提供验收方案，保证项目顺利完成验收。 完全满足需求，无瑕疵计5分； 内容存在1处瑕疵计4分； 内容存在2处瑕疵计3分； 内容存在3处瑕疵计2分； 内容存在4处瑕疵计1分； 内容存在5处及以上瑕疵或未提供方案计0分。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7成果交付及验收方案.docx</w:t>
            </w:r>
          </w:p>
        </w:tc>
      </w:tr>
      <w:tr>
        <w:tc>
          <w:tcPr>
            <w:tcW w:type="dxa" w:w="831"/>
            <w:vMerge/>
          </w:tcPr>
          <w:p/>
        </w:tc>
        <w:tc>
          <w:tcPr>
            <w:tcW w:type="dxa" w:w="1661"/>
          </w:tcPr>
          <w:p>
            <w:pPr>
              <w:pStyle w:val="null3"/>
            </w:pPr>
            <w:r>
              <w:rPr>
                <w:rFonts w:ascii="仿宋_GB2312" w:hAnsi="仿宋_GB2312" w:cs="仿宋_GB2312" w:eastAsia="仿宋_GB2312"/>
              </w:rPr>
              <w:t>风险防范及应急处置</w:t>
            </w:r>
          </w:p>
        </w:tc>
        <w:tc>
          <w:tcPr>
            <w:tcW w:type="dxa" w:w="2492"/>
          </w:tcPr>
          <w:p>
            <w:pPr>
              <w:pStyle w:val="null3"/>
            </w:pPr>
            <w:r>
              <w:rPr>
                <w:rFonts w:ascii="仿宋_GB2312" w:hAnsi="仿宋_GB2312" w:cs="仿宋_GB2312" w:eastAsia="仿宋_GB2312"/>
              </w:rPr>
              <w:t>针对本项目需求，供应商提供项目实施风险分析及防范措施、保密管理措施、应急响应措施等。 完全满足需求，无瑕疵计4分； 内容存在1处瑕疵计3分； 内容存在2处瑕疵计2分； 内容存在3处瑕疵计1分； 内容存在4处及以上瑕疵或未提供方案计0分。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8风险防范及应急处置.docx</w:t>
            </w:r>
          </w:p>
        </w:tc>
      </w:tr>
      <w:tr>
        <w:tc>
          <w:tcPr>
            <w:tcW w:type="dxa" w:w="831"/>
            <w:vMerge/>
          </w:tcPr>
          <w:p/>
        </w:tc>
        <w:tc>
          <w:tcPr>
            <w:tcW w:type="dxa" w:w="1661"/>
          </w:tcPr>
          <w:p>
            <w:pPr>
              <w:pStyle w:val="null3"/>
            </w:pPr>
            <w:r>
              <w:rPr>
                <w:rFonts w:ascii="仿宋_GB2312" w:hAnsi="仿宋_GB2312" w:cs="仿宋_GB2312" w:eastAsia="仿宋_GB2312"/>
              </w:rPr>
              <w:t>认证</w:t>
            </w:r>
          </w:p>
        </w:tc>
        <w:tc>
          <w:tcPr>
            <w:tcW w:type="dxa" w:w="2492"/>
          </w:tcPr>
          <w:p>
            <w:pPr>
              <w:pStyle w:val="null3"/>
            </w:pPr>
            <w:r>
              <w:rPr>
                <w:rFonts w:ascii="仿宋_GB2312" w:hAnsi="仿宋_GB2312" w:cs="仿宋_GB2312" w:eastAsia="仿宋_GB2312"/>
              </w:rPr>
              <w:t>具备信息安全管理体系认证 ISO27001 认证证书得1分。不提供不得分。 注：提供证书复印件加盖公章。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9认证.docx</w:t>
            </w:r>
          </w:p>
        </w:tc>
      </w:tr>
      <w:tr>
        <w:tc>
          <w:tcPr>
            <w:tcW w:type="dxa" w:w="831"/>
            <w:vMerge/>
          </w:tcPr>
          <w:p/>
        </w:tc>
        <w:tc>
          <w:tcPr>
            <w:tcW w:type="dxa" w:w="1661"/>
          </w:tcPr>
          <w:p>
            <w:pPr>
              <w:pStyle w:val="null3"/>
            </w:pPr>
            <w:r>
              <w:rPr>
                <w:rFonts w:ascii="仿宋_GB2312" w:hAnsi="仿宋_GB2312" w:cs="仿宋_GB2312" w:eastAsia="仿宋_GB2312"/>
              </w:rPr>
              <w:t>项目团队成员资质</w:t>
            </w:r>
          </w:p>
        </w:tc>
        <w:tc>
          <w:tcPr>
            <w:tcW w:type="dxa" w:w="2492"/>
          </w:tcPr>
          <w:p>
            <w:pPr>
              <w:pStyle w:val="null3"/>
            </w:pPr>
            <w:r>
              <w:rPr>
                <w:rFonts w:ascii="仿宋_GB2312" w:hAnsi="仿宋_GB2312" w:cs="仿宋_GB2312" w:eastAsia="仿宋_GB2312"/>
              </w:rPr>
              <w:t>1.项目负责人：拟派项目负责人通过国家密码管理局商用密码检测中心的商用密码应用安全性评估人员测评能力考核、具有注册信息安全专业人员（CISP）、具有信息系统项目管理师（高级）证书，以上条件每满足一项得1分，最多得3分。未提供不计分。 2.团队成员： ①每提供一名通过国家密码管理局商用密码检测中心的商用密码应用安全性评估人员测评能力考试的人员计1分，最多得2分；②每提供一名具有注册信息安全专业人员证书（CISP）人员计1分，最高得2分。未提供不计分。 注：1.提供证书复印件加盖公章；2.提供以上人员本单位员工证明，包括但不限于劳动合同等。否则不计分。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10项目团队成员资质.docx</w:t>
            </w:r>
          </w:p>
        </w:tc>
      </w:tr>
      <w:tr>
        <w:tc>
          <w:tcPr>
            <w:tcW w:type="dxa" w:w="831"/>
            <w:vMerge/>
          </w:tcPr>
          <w:p/>
        </w:tc>
        <w:tc>
          <w:tcPr>
            <w:tcW w:type="dxa" w:w="1661"/>
          </w:tcPr>
          <w:p>
            <w:pPr>
              <w:pStyle w:val="null3"/>
            </w:pPr>
            <w:r>
              <w:rPr>
                <w:rFonts w:ascii="仿宋_GB2312" w:hAnsi="仿宋_GB2312" w:cs="仿宋_GB2312" w:eastAsia="仿宋_GB2312"/>
              </w:rPr>
              <w:t>团队人员清单及简历</w:t>
            </w:r>
          </w:p>
        </w:tc>
        <w:tc>
          <w:tcPr>
            <w:tcW w:type="dxa" w:w="2492"/>
          </w:tcPr>
          <w:p>
            <w:pPr>
              <w:pStyle w:val="null3"/>
            </w:pPr>
            <w:r>
              <w:rPr>
                <w:rFonts w:ascii="仿宋_GB2312" w:hAnsi="仿宋_GB2312" w:cs="仿宋_GB2312" w:eastAsia="仿宋_GB2312"/>
              </w:rPr>
              <w:t>供应商拟派服务团队成员具有与本项目同类项目测评经验，并有人员稳定性保障方案。提供明确的项目服务团队清单及简历（至少应有：具体成员姓名、年龄、职责、工作经验），并提供相应证明材料。 完全满足需求，无瑕疵计6分； 内容存在1处瑕疵计5分； 内容存在2处瑕疵计4分； 内容存在3处瑕疵计3分； 内容存在4处瑕疵计2分； 内容存在5处瑕疵计1分； 内容存在6处及以上瑕疵或未提供方案计0分。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11团队人员清单及简历.docx</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供应商针对本项目需求，提供拟配备测试设施设备清单及明细。磋商小组结合采购需求对供应商提供内容进行评审。 完全满足需求，无瑕疵计5分； 内容存在1处瑕疵计4分； 内容存在2处瑕疵计3分； 内容存在3处瑕疵计2分； 内容存在4处瑕疵计1分； 内容存在5处及以上瑕疵或未提供方案计0分。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12设施设备配备.docx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供应商须针对本项目需求提供售后服务方案，包括但不限于应急响应及应急处理、安全咨询服务、网络与信息安全信息通报服务、电话支持服务等内容。 完全满足需求，无瑕疵计5分； 内容存在1处瑕疵计4分； 内容存在2处瑕疵计3分； 内容存在3处瑕疵计2分； 内容存在4处瑕疵计1分； 内容存在5处及以上瑕疵或未提供方案计0分。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提供供应商2022年1月1日至今同类项目合同（以合同签订日期为准），每提供1个得1分，最高得5分。 备注：1.响应文件中提供合同复印件加盖公章2.同类项目指密码测评项目。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详见附件：1对项目背景认识和服务内容理解.docx</w:t>
      </w:r>
    </w:p>
    <w:p>
      <w:pPr>
        <w:pStyle w:val="null3"/>
        <w:ind w:firstLine="960"/>
      </w:pPr>
      <w:r>
        <w:rPr>
          <w:rFonts w:ascii="仿宋_GB2312" w:hAnsi="仿宋_GB2312" w:cs="仿宋_GB2312" w:eastAsia="仿宋_GB2312"/>
        </w:rPr>
        <w:t>详见附件：2项目重点难点分析及应对措施.docx</w:t>
      </w:r>
    </w:p>
    <w:p>
      <w:pPr>
        <w:pStyle w:val="null3"/>
        <w:ind w:firstLine="960"/>
      </w:pPr>
      <w:r>
        <w:rPr>
          <w:rFonts w:ascii="仿宋_GB2312" w:hAnsi="仿宋_GB2312" w:cs="仿宋_GB2312" w:eastAsia="仿宋_GB2312"/>
        </w:rPr>
        <w:t>详见附件：3整体实施方案.docx</w:t>
      </w:r>
    </w:p>
    <w:p>
      <w:pPr>
        <w:pStyle w:val="null3"/>
        <w:ind w:firstLine="960"/>
      </w:pPr>
      <w:r>
        <w:rPr>
          <w:rFonts w:ascii="仿宋_GB2312" w:hAnsi="仿宋_GB2312" w:cs="仿宋_GB2312" w:eastAsia="仿宋_GB2312"/>
        </w:rPr>
        <w:t>详见附件：4信息安全保障方案.docx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详见附件：6进度保障方案.docx</w:t>
      </w:r>
    </w:p>
    <w:p>
      <w:pPr>
        <w:pStyle w:val="null3"/>
        <w:ind w:firstLine="960"/>
      </w:pPr>
      <w:r>
        <w:rPr>
          <w:rFonts w:ascii="仿宋_GB2312" w:hAnsi="仿宋_GB2312" w:cs="仿宋_GB2312" w:eastAsia="仿宋_GB2312"/>
        </w:rPr>
        <w:t>详见附件：7成果交付及验收方案.docx</w:t>
      </w:r>
    </w:p>
    <w:p>
      <w:pPr>
        <w:pStyle w:val="null3"/>
        <w:ind w:firstLine="960"/>
      </w:pPr>
      <w:r>
        <w:rPr>
          <w:rFonts w:ascii="仿宋_GB2312" w:hAnsi="仿宋_GB2312" w:cs="仿宋_GB2312" w:eastAsia="仿宋_GB2312"/>
        </w:rPr>
        <w:t>详见附件：8保密方案.docx</w:t>
      </w:r>
    </w:p>
    <w:p>
      <w:pPr>
        <w:pStyle w:val="null3"/>
        <w:ind w:firstLine="960"/>
      </w:pPr>
      <w:r>
        <w:rPr>
          <w:rFonts w:ascii="仿宋_GB2312" w:hAnsi="仿宋_GB2312" w:cs="仿宋_GB2312" w:eastAsia="仿宋_GB2312"/>
        </w:rPr>
        <w:t>详见附件：9服务认证.docx</w:t>
      </w:r>
    </w:p>
    <w:p>
      <w:pPr>
        <w:pStyle w:val="null3"/>
        <w:ind w:firstLine="960"/>
      </w:pPr>
      <w:r>
        <w:rPr>
          <w:rFonts w:ascii="仿宋_GB2312" w:hAnsi="仿宋_GB2312" w:cs="仿宋_GB2312" w:eastAsia="仿宋_GB2312"/>
        </w:rPr>
        <w:t>详见附件：10项目团队成员资质.docx</w:t>
      </w:r>
    </w:p>
    <w:p>
      <w:pPr>
        <w:pStyle w:val="null3"/>
        <w:ind w:firstLine="960"/>
      </w:pPr>
      <w:r>
        <w:rPr>
          <w:rFonts w:ascii="仿宋_GB2312" w:hAnsi="仿宋_GB2312" w:cs="仿宋_GB2312" w:eastAsia="仿宋_GB2312"/>
        </w:rPr>
        <w:t>详见附件：11团队人员清单及简历.docx</w:t>
      </w:r>
    </w:p>
    <w:p>
      <w:pPr>
        <w:pStyle w:val="null3"/>
        <w:ind w:firstLine="960"/>
      </w:pPr>
      <w:r>
        <w:rPr>
          <w:rFonts w:ascii="仿宋_GB2312" w:hAnsi="仿宋_GB2312" w:cs="仿宋_GB2312" w:eastAsia="仿宋_GB2312"/>
        </w:rPr>
        <w:t>详见附件：12售后服务方案.docx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详见附件：1对项目背景认识和服务内容理解.docx</w:t>
      </w:r>
    </w:p>
    <w:p>
      <w:pPr>
        <w:pStyle w:val="null3"/>
        <w:ind w:firstLine="960"/>
      </w:pPr>
      <w:r>
        <w:rPr>
          <w:rFonts w:ascii="仿宋_GB2312" w:hAnsi="仿宋_GB2312" w:cs="仿宋_GB2312" w:eastAsia="仿宋_GB2312"/>
        </w:rPr>
        <w:t>详见附件：2项目重点难点分析及应对措施.docx</w:t>
      </w:r>
    </w:p>
    <w:p>
      <w:pPr>
        <w:pStyle w:val="null3"/>
        <w:ind w:firstLine="960"/>
      </w:pPr>
      <w:r>
        <w:rPr>
          <w:rFonts w:ascii="仿宋_GB2312" w:hAnsi="仿宋_GB2312" w:cs="仿宋_GB2312" w:eastAsia="仿宋_GB2312"/>
        </w:rPr>
        <w:t>详见附件：3整体实施方案.docx</w:t>
      </w:r>
    </w:p>
    <w:p>
      <w:pPr>
        <w:pStyle w:val="null3"/>
        <w:ind w:firstLine="960"/>
      </w:pPr>
      <w:r>
        <w:rPr>
          <w:rFonts w:ascii="仿宋_GB2312" w:hAnsi="仿宋_GB2312" w:cs="仿宋_GB2312" w:eastAsia="仿宋_GB2312"/>
        </w:rPr>
        <w:t>详见附件：4安全保障方案.docx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详见附件：6进度保障方案.docx</w:t>
      </w:r>
    </w:p>
    <w:p>
      <w:pPr>
        <w:pStyle w:val="null3"/>
        <w:ind w:firstLine="960"/>
      </w:pPr>
      <w:r>
        <w:rPr>
          <w:rFonts w:ascii="仿宋_GB2312" w:hAnsi="仿宋_GB2312" w:cs="仿宋_GB2312" w:eastAsia="仿宋_GB2312"/>
        </w:rPr>
        <w:t>详见附件：7成果交付及验收方案.docx</w:t>
      </w:r>
    </w:p>
    <w:p>
      <w:pPr>
        <w:pStyle w:val="null3"/>
        <w:ind w:firstLine="960"/>
      </w:pPr>
      <w:r>
        <w:rPr>
          <w:rFonts w:ascii="仿宋_GB2312" w:hAnsi="仿宋_GB2312" w:cs="仿宋_GB2312" w:eastAsia="仿宋_GB2312"/>
        </w:rPr>
        <w:t>详见附件：8风险防范及应急处置.docx</w:t>
      </w:r>
    </w:p>
    <w:p>
      <w:pPr>
        <w:pStyle w:val="null3"/>
        <w:ind w:firstLine="960"/>
      </w:pPr>
      <w:r>
        <w:rPr>
          <w:rFonts w:ascii="仿宋_GB2312" w:hAnsi="仿宋_GB2312" w:cs="仿宋_GB2312" w:eastAsia="仿宋_GB2312"/>
        </w:rPr>
        <w:t>详见附件：9认证.docx</w:t>
      </w:r>
    </w:p>
    <w:p>
      <w:pPr>
        <w:pStyle w:val="null3"/>
        <w:ind w:firstLine="960"/>
      </w:pPr>
      <w:r>
        <w:rPr>
          <w:rFonts w:ascii="仿宋_GB2312" w:hAnsi="仿宋_GB2312" w:cs="仿宋_GB2312" w:eastAsia="仿宋_GB2312"/>
        </w:rPr>
        <w:t>详见附件：10项目团队成员资质.docx</w:t>
      </w:r>
    </w:p>
    <w:p>
      <w:pPr>
        <w:pStyle w:val="null3"/>
        <w:ind w:firstLine="960"/>
      </w:pPr>
      <w:r>
        <w:rPr>
          <w:rFonts w:ascii="仿宋_GB2312" w:hAnsi="仿宋_GB2312" w:cs="仿宋_GB2312" w:eastAsia="仿宋_GB2312"/>
        </w:rPr>
        <w:t>详见附件：11团队人员清单及简历.docx</w:t>
      </w:r>
    </w:p>
    <w:p>
      <w:pPr>
        <w:pStyle w:val="null3"/>
        <w:ind w:firstLine="960"/>
      </w:pPr>
      <w:r>
        <w:rPr>
          <w:rFonts w:ascii="仿宋_GB2312" w:hAnsi="仿宋_GB2312" w:cs="仿宋_GB2312" w:eastAsia="仿宋_GB2312"/>
        </w:rPr>
        <w:t>详见附件：12设施设备配备.docx</w:t>
      </w:r>
    </w:p>
    <w:p>
      <w:pPr>
        <w:pStyle w:val="null3"/>
        <w:ind w:firstLine="960"/>
      </w:pPr>
      <w:r>
        <w:rPr>
          <w:rFonts w:ascii="仿宋_GB2312" w:hAnsi="仿宋_GB2312" w:cs="仿宋_GB2312" w:eastAsia="仿宋_GB2312"/>
        </w:rPr>
        <w:t>详见附件：13售后服务方案.docx</w:t>
      </w:r>
    </w:p>
    <w:p>
      <w:pPr>
        <w:pStyle w:val="null3"/>
        <w:ind w:firstLine="960"/>
      </w:pPr>
      <w:r>
        <w:rPr>
          <w:rFonts w:ascii="仿宋_GB2312" w:hAnsi="仿宋_GB2312" w:cs="仿宋_GB2312" w:eastAsia="仿宋_GB2312"/>
        </w:rPr>
        <w:t>详见附件：14业绩.docx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