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9701F">
      <w:pPr>
        <w:pStyle w:val="7"/>
        <w:ind w:firstLine="640" w:firstLineChars="200"/>
        <w:rPr>
          <w:rFonts w:hint="eastAsia" w:ascii="仿宋" w:hAnsi="仿宋" w:eastAsia="仿宋" w:cs="仿宋"/>
          <w:sz w:val="24"/>
          <w:szCs w:val="24"/>
          <w:highlight w:val="none"/>
        </w:rPr>
      </w:pPr>
      <w:r>
        <w:rPr>
          <w:rFonts w:ascii="宋体" w:hAnsi="宋体" w:eastAsia="宋体" w:cs="仿宋_GB2312"/>
        </w:rPr>
        <w:t xml:space="preserve"> </w:t>
      </w:r>
      <w:r>
        <w:rPr>
          <w:rFonts w:ascii="宋体" w:hAnsi="宋体" w:eastAsia="宋体" w:cs="仿宋_GB2312"/>
        </w:rPr>
        <w:br w:type="textWrapping"/>
      </w:r>
    </w:p>
    <w:p w14:paraId="145286FD">
      <w:pPr>
        <w:pStyle w:val="7"/>
        <w:ind w:firstLine="480" w:firstLineChars="200"/>
        <w:rPr>
          <w:rFonts w:hint="eastAsia" w:ascii="仿宋" w:hAnsi="仿宋" w:eastAsia="仿宋" w:cs="仿宋"/>
          <w:sz w:val="24"/>
          <w:szCs w:val="24"/>
          <w:highlight w:val="none"/>
        </w:rPr>
      </w:pPr>
    </w:p>
    <w:p w14:paraId="6B130F58">
      <w:pPr>
        <w:pStyle w:val="7"/>
        <w:ind w:firstLine="480" w:firstLineChars="200"/>
        <w:rPr>
          <w:rFonts w:hint="eastAsia" w:ascii="宋体" w:hAnsi="宋体" w:eastAsia="宋体" w:cs="宋体"/>
          <w:sz w:val="24"/>
          <w:szCs w:val="24"/>
          <w:highlight w:val="none"/>
        </w:rPr>
      </w:pPr>
    </w:p>
    <w:p w14:paraId="6CE1BBDC">
      <w:pPr>
        <w:pStyle w:val="7"/>
        <w:ind w:firstLine="480" w:firstLineChars="200"/>
        <w:rPr>
          <w:rFonts w:hint="eastAsia" w:ascii="宋体" w:hAnsi="宋体" w:eastAsia="宋体" w:cs="宋体"/>
          <w:sz w:val="24"/>
          <w:szCs w:val="24"/>
          <w:highlight w:val="none"/>
        </w:rPr>
      </w:pPr>
    </w:p>
    <w:p w14:paraId="4F180CBF">
      <w:pPr>
        <w:pStyle w:val="7"/>
        <w:ind w:firstLine="560" w:firstLineChars="2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____________项目</w:t>
      </w:r>
    </w:p>
    <w:p w14:paraId="4D73F47B">
      <w:pPr>
        <w:pStyle w:val="7"/>
        <w:ind w:firstLine="560" w:firstLineChars="200"/>
        <w:rPr>
          <w:rFonts w:hint="eastAsia" w:ascii="宋体" w:hAnsi="宋体" w:eastAsia="宋体" w:cs="宋体"/>
          <w:sz w:val="28"/>
          <w:szCs w:val="28"/>
          <w:highlight w:val="none"/>
        </w:rPr>
      </w:pPr>
    </w:p>
    <w:p w14:paraId="5AD57046">
      <w:pPr>
        <w:pStyle w:val="7"/>
        <w:ind w:firstLine="560" w:firstLineChars="200"/>
        <w:rPr>
          <w:rFonts w:hint="eastAsia" w:ascii="宋体" w:hAnsi="宋体" w:eastAsia="宋体" w:cs="宋体"/>
          <w:sz w:val="28"/>
          <w:szCs w:val="28"/>
          <w:highlight w:val="none"/>
        </w:rPr>
      </w:pPr>
    </w:p>
    <w:p w14:paraId="7249D1D5">
      <w:pPr>
        <w:pStyle w:val="7"/>
        <w:ind w:firstLine="560" w:firstLineChars="200"/>
        <w:rPr>
          <w:rFonts w:hint="eastAsia" w:ascii="宋体" w:hAnsi="宋体" w:eastAsia="宋体" w:cs="宋体"/>
          <w:sz w:val="28"/>
          <w:szCs w:val="28"/>
          <w:highlight w:val="none"/>
        </w:rPr>
      </w:pPr>
    </w:p>
    <w:p w14:paraId="229E8C27">
      <w:pPr>
        <w:pStyle w:val="7"/>
        <w:ind w:firstLine="560" w:firstLineChars="200"/>
        <w:rPr>
          <w:rFonts w:hint="eastAsia" w:ascii="宋体" w:hAnsi="宋体" w:eastAsia="宋体" w:cs="宋体"/>
          <w:sz w:val="28"/>
          <w:szCs w:val="28"/>
          <w:highlight w:val="none"/>
        </w:rPr>
      </w:pPr>
    </w:p>
    <w:p w14:paraId="3A78ADC0">
      <w:pPr>
        <w:jc w:val="center"/>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合　　同</w:t>
      </w:r>
    </w:p>
    <w:p w14:paraId="7F9ACC1E">
      <w:pPr>
        <w:pStyle w:val="7"/>
        <w:ind w:firstLine="560" w:firstLineChars="200"/>
        <w:rPr>
          <w:rFonts w:hint="eastAsia" w:ascii="宋体" w:hAnsi="宋体" w:eastAsia="宋体" w:cs="宋体"/>
          <w:sz w:val="28"/>
          <w:szCs w:val="28"/>
          <w:highlight w:val="none"/>
        </w:rPr>
      </w:pPr>
    </w:p>
    <w:p w14:paraId="58F84617">
      <w:pPr>
        <w:pStyle w:val="7"/>
        <w:ind w:firstLine="560" w:firstLineChars="200"/>
        <w:rPr>
          <w:rFonts w:hint="eastAsia" w:ascii="宋体" w:hAnsi="宋体" w:eastAsia="宋体" w:cs="宋体"/>
          <w:sz w:val="28"/>
          <w:szCs w:val="28"/>
          <w:highlight w:val="none"/>
        </w:rPr>
      </w:pPr>
    </w:p>
    <w:p w14:paraId="72729D1C">
      <w:pPr>
        <w:pStyle w:val="7"/>
        <w:ind w:firstLine="560" w:firstLineChars="200"/>
        <w:rPr>
          <w:rFonts w:hint="eastAsia" w:ascii="宋体" w:hAnsi="宋体" w:eastAsia="宋体" w:cs="宋体"/>
          <w:sz w:val="28"/>
          <w:szCs w:val="28"/>
          <w:highlight w:val="none"/>
        </w:rPr>
      </w:pPr>
    </w:p>
    <w:p w14:paraId="0DFCC49B">
      <w:pPr>
        <w:pStyle w:val="7"/>
        <w:ind w:firstLine="560" w:firstLineChars="200"/>
        <w:rPr>
          <w:rFonts w:hint="eastAsia" w:ascii="宋体" w:hAnsi="宋体" w:eastAsia="宋体" w:cs="宋体"/>
          <w:sz w:val="28"/>
          <w:szCs w:val="28"/>
          <w:highlight w:val="none"/>
        </w:rPr>
      </w:pPr>
    </w:p>
    <w:p w14:paraId="6EEDD967">
      <w:pPr>
        <w:pStyle w:val="7"/>
        <w:ind w:firstLine="1960" w:firstLineChars="7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合同编号：____________________</w:t>
      </w:r>
    </w:p>
    <w:p w14:paraId="2A83F5E4">
      <w:pPr>
        <w:pStyle w:val="7"/>
        <w:ind w:firstLine="560" w:firstLineChars="200"/>
        <w:jc w:val="center"/>
        <w:rPr>
          <w:rFonts w:hint="eastAsia" w:ascii="宋体" w:hAnsi="宋体" w:eastAsia="宋体" w:cs="宋体"/>
          <w:sz w:val="28"/>
          <w:szCs w:val="28"/>
          <w:highlight w:val="none"/>
        </w:rPr>
      </w:pPr>
    </w:p>
    <w:p w14:paraId="10B56F23">
      <w:pPr>
        <w:pStyle w:val="7"/>
        <w:jc w:val="center"/>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甲　　方：____________________(采购人名称)</w:t>
      </w:r>
    </w:p>
    <w:p w14:paraId="70EBF736">
      <w:pPr>
        <w:pStyle w:val="7"/>
        <w:ind w:firstLine="560" w:firstLineChars="200"/>
        <w:jc w:val="center"/>
        <w:rPr>
          <w:rFonts w:hint="eastAsia" w:ascii="宋体" w:hAnsi="宋体" w:eastAsia="宋体" w:cs="宋体"/>
          <w:sz w:val="28"/>
          <w:szCs w:val="28"/>
          <w:highlight w:val="none"/>
        </w:rPr>
      </w:pPr>
    </w:p>
    <w:p w14:paraId="2ACE4DAE">
      <w:pPr>
        <w:pStyle w:val="7"/>
        <w:ind w:firstLine="560" w:firstLineChars="2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乙　　方：____________________(成交供应商名称)</w:t>
      </w:r>
    </w:p>
    <w:p w14:paraId="2DDDB93E">
      <w:pPr>
        <w:pStyle w:val="7"/>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宋体" w:hAnsi="宋体" w:eastAsia="宋体" w:cs="宋体"/>
          <w:sz w:val="28"/>
          <w:szCs w:val="28"/>
          <w:highlight w:val="none"/>
        </w:rPr>
      </w:pPr>
      <w:r>
        <w:rPr>
          <w:rFonts w:hint="eastAsia" w:ascii="宋体" w:hAnsi="宋体" w:eastAsia="宋体" w:cs="宋体"/>
          <w:sz w:val="32"/>
          <w:szCs w:val="32"/>
          <w:highlight w:val="none"/>
        </w:rPr>
        <w:br w:type="page"/>
      </w:r>
      <w:r>
        <w:rPr>
          <w:rFonts w:hint="eastAsia" w:ascii="宋体" w:hAnsi="宋体" w:eastAsia="宋体" w:cs="宋体"/>
          <w:sz w:val="28"/>
          <w:szCs w:val="28"/>
          <w:highlight w:val="none"/>
        </w:rPr>
        <w:t>根据《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421EA279">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1.合同文件</w:t>
      </w:r>
    </w:p>
    <w:p w14:paraId="32F12AE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下列文件是构成本合同不可分割的部分：</w:t>
      </w:r>
    </w:p>
    <w:p w14:paraId="027133A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(1)合同条款；</w:t>
      </w:r>
    </w:p>
    <w:p w14:paraId="462F54E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(2)成交通知书；</w:t>
      </w:r>
    </w:p>
    <w:p w14:paraId="52C1D22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(3)磋商文件；</w:t>
      </w:r>
    </w:p>
    <w:p w14:paraId="5921586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(4)响应文件；</w:t>
      </w:r>
    </w:p>
    <w:p w14:paraId="53301D48">
      <w:pPr>
        <w:pStyle w:val="7"/>
        <w:keepNext w:val="0"/>
        <w:keepLines w:val="0"/>
        <w:pageBreakBefore w:val="0"/>
        <w:kinsoku/>
        <w:wordWrap/>
        <w:overflowPunct/>
        <w:topLinePunct w:val="0"/>
        <w:autoSpaceDE/>
        <w:autoSpaceDN/>
        <w:bidi w:val="0"/>
        <w:adjustRightInd/>
        <w:snapToGrid/>
        <w:spacing w:line="560" w:lineRule="exact"/>
        <w:ind w:firstLine="420" w:firstLineChars="1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（5）其他(根据实际情况需要增加的内容)。</w:t>
      </w:r>
    </w:p>
    <w:p w14:paraId="41EAFAA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1FAD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337A0C9">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服务名称</w:t>
            </w:r>
          </w:p>
        </w:tc>
        <w:tc>
          <w:tcPr>
            <w:tcW w:w="816" w:type="dxa"/>
            <w:noWrap w:val="0"/>
            <w:vAlign w:val="center"/>
          </w:tcPr>
          <w:p w14:paraId="5404CFB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16" w:type="dxa"/>
            <w:noWrap w:val="0"/>
            <w:vAlign w:val="center"/>
          </w:tcPr>
          <w:p w14:paraId="341E3909">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5164" w:type="dxa"/>
            <w:noWrap w:val="0"/>
            <w:vAlign w:val="center"/>
          </w:tcPr>
          <w:p w14:paraId="40A446CF">
            <w:pPr>
              <w:pStyle w:val="7"/>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具体服务承诺(包含但不限于服务内容、范围和基本要求)</w:t>
            </w:r>
          </w:p>
        </w:tc>
      </w:tr>
      <w:tr w14:paraId="5D4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C30D052">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c>
          <w:tcPr>
            <w:tcW w:w="816" w:type="dxa"/>
            <w:noWrap w:val="0"/>
            <w:vAlign w:val="center"/>
          </w:tcPr>
          <w:p w14:paraId="1608A2B8">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c>
          <w:tcPr>
            <w:tcW w:w="816" w:type="dxa"/>
            <w:noWrap w:val="0"/>
            <w:vAlign w:val="center"/>
          </w:tcPr>
          <w:p w14:paraId="2BC958F0">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w:t>
            </w:r>
          </w:p>
        </w:tc>
        <w:tc>
          <w:tcPr>
            <w:tcW w:w="5164" w:type="dxa"/>
            <w:noWrap w:val="0"/>
            <w:vAlign w:val="center"/>
          </w:tcPr>
          <w:p w14:paraId="3894C925">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r>
      <w:tr w14:paraId="35F0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1BDD3F8">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816" w:type="dxa"/>
            <w:noWrap w:val="0"/>
            <w:vAlign w:val="center"/>
          </w:tcPr>
          <w:p w14:paraId="722D7F2B">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c>
          <w:tcPr>
            <w:tcW w:w="816" w:type="dxa"/>
            <w:noWrap w:val="0"/>
            <w:vAlign w:val="center"/>
          </w:tcPr>
          <w:p w14:paraId="01F9FECA">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c>
          <w:tcPr>
            <w:tcW w:w="5164" w:type="dxa"/>
            <w:noWrap w:val="0"/>
            <w:vAlign w:val="center"/>
          </w:tcPr>
          <w:p w14:paraId="05C8541A">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highlight w:val="none"/>
              </w:rPr>
            </w:pPr>
          </w:p>
        </w:tc>
      </w:tr>
    </w:tbl>
    <w:p w14:paraId="78DF30F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3.合同金额及付款方式</w:t>
      </w:r>
    </w:p>
    <w:p w14:paraId="0B2831D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3.1合同金额</w:t>
      </w:r>
    </w:p>
    <w:p w14:paraId="022348F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本合同总金额为人民币______元(</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______)。本合同额已包含但不限于乙方为提供服务所产生的全部成本、预期利益、售后服务、税费和合同中规定乙方应承担的其他义务的费用等。</w:t>
      </w:r>
    </w:p>
    <w:p w14:paraId="7E87E24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3.2付款方式</w:t>
      </w:r>
    </w:p>
    <w:p w14:paraId="578137D8">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4.合同签订地：</w:t>
      </w:r>
      <w:r>
        <w:rPr>
          <w:rFonts w:hint="eastAsia" w:ascii="宋体" w:hAnsi="宋体" w:eastAsia="宋体" w:cs="宋体"/>
          <w:sz w:val="28"/>
          <w:szCs w:val="28"/>
          <w:highlight w:val="none"/>
          <w:u w:val="single"/>
        </w:rPr>
        <w:t xml:space="preserve">         </w:t>
      </w:r>
    </w:p>
    <w:p w14:paraId="21B738E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rPr>
        <w:t>根据实际情况填写</w:t>
      </w:r>
    </w:p>
    <w:p w14:paraId="47FBB478">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5.合同生效</w:t>
      </w:r>
    </w:p>
    <w:p w14:paraId="57D7A71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本合同一式肆份，甲方执贰份、乙方执壹份、采购代理机构（见证方）执壹份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在甲、乙及见证方签字盖章</w:t>
      </w:r>
      <w:r>
        <w:rPr>
          <w:rFonts w:hint="eastAsia" w:ascii="宋体" w:hAnsi="宋体" w:eastAsia="宋体" w:cs="宋体"/>
          <w:sz w:val="28"/>
          <w:szCs w:val="28"/>
          <w:highlight w:val="none"/>
          <w:lang w:val="en-US" w:eastAsia="zh-CN"/>
        </w:rPr>
        <w:t>后生效</w:t>
      </w:r>
      <w:r>
        <w:rPr>
          <w:rFonts w:hint="eastAsia" w:ascii="宋体" w:hAnsi="宋体" w:eastAsia="宋体" w:cs="宋体"/>
          <w:sz w:val="28"/>
          <w:szCs w:val="28"/>
          <w:highlight w:val="none"/>
        </w:rPr>
        <w:t>。</w:t>
      </w:r>
    </w:p>
    <w:p w14:paraId="752F2D9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6.其他约定：见证方只见证合同金额。</w:t>
      </w:r>
    </w:p>
    <w:tbl>
      <w:tblPr>
        <w:tblStyle w:val="10"/>
        <w:tblW w:w="0" w:type="auto"/>
        <w:tblInd w:w="93" w:type="dxa"/>
        <w:tblLayout w:type="fixed"/>
        <w:tblCellMar>
          <w:top w:w="0" w:type="dxa"/>
          <w:left w:w="108" w:type="dxa"/>
          <w:bottom w:w="0" w:type="dxa"/>
          <w:right w:w="108" w:type="dxa"/>
        </w:tblCellMar>
      </w:tblPr>
      <w:tblGrid>
        <w:gridCol w:w="4559"/>
        <w:gridCol w:w="4260"/>
      </w:tblGrid>
      <w:tr w14:paraId="34D52C15">
        <w:tblPrEx>
          <w:tblCellMar>
            <w:top w:w="0" w:type="dxa"/>
            <w:left w:w="108" w:type="dxa"/>
            <w:bottom w:w="0" w:type="dxa"/>
            <w:right w:w="108" w:type="dxa"/>
          </w:tblCellMar>
        </w:tblPrEx>
        <w:trPr>
          <w:trHeight w:val="325" w:hRule="atLeast"/>
        </w:trPr>
        <w:tc>
          <w:tcPr>
            <w:tcW w:w="4559" w:type="dxa"/>
            <w:tcBorders>
              <w:top w:val="single" w:color="auto" w:sz="8" w:space="0"/>
              <w:left w:val="single" w:color="auto" w:sz="8" w:space="0"/>
              <w:bottom w:val="single" w:color="auto" w:sz="8" w:space="0"/>
              <w:right w:val="single" w:color="auto" w:sz="8" w:space="0"/>
            </w:tcBorders>
            <w:noWrap w:val="0"/>
            <w:vAlign w:val="center"/>
          </w:tcPr>
          <w:p w14:paraId="1DA08CF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  方</w:t>
            </w:r>
          </w:p>
        </w:tc>
        <w:tc>
          <w:tcPr>
            <w:tcW w:w="4260" w:type="dxa"/>
            <w:tcBorders>
              <w:top w:val="single" w:color="auto" w:sz="8" w:space="0"/>
              <w:left w:val="nil"/>
              <w:bottom w:val="single" w:color="auto" w:sz="8" w:space="0"/>
              <w:right w:val="single" w:color="auto" w:sz="8" w:space="0"/>
            </w:tcBorders>
            <w:noWrap w:val="0"/>
            <w:vAlign w:val="center"/>
          </w:tcPr>
          <w:p w14:paraId="4382877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乙  方</w:t>
            </w:r>
          </w:p>
        </w:tc>
      </w:tr>
      <w:tr w14:paraId="3C0EA1A9">
        <w:tblPrEx>
          <w:tblCellMar>
            <w:top w:w="0" w:type="dxa"/>
            <w:left w:w="108" w:type="dxa"/>
            <w:bottom w:w="0" w:type="dxa"/>
            <w:right w:w="108" w:type="dxa"/>
          </w:tblCellMar>
        </w:tblPrEx>
        <w:trPr>
          <w:trHeight w:val="423"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7D0172E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60" w:type="dxa"/>
            <w:tcBorders>
              <w:top w:val="nil"/>
              <w:left w:val="nil"/>
              <w:bottom w:val="nil"/>
              <w:right w:val="single" w:color="auto" w:sz="8" w:space="0"/>
            </w:tcBorders>
            <w:noWrap w:val="0"/>
            <w:vAlign w:val="center"/>
          </w:tcPr>
          <w:p w14:paraId="24AC584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r>
      <w:tr w14:paraId="315EE2BB">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0C5F78D6">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1C7211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4"/>
                <w:szCs w:val="24"/>
                <w:highlight w:val="none"/>
              </w:rPr>
            </w:pPr>
          </w:p>
        </w:tc>
      </w:tr>
      <w:tr w14:paraId="01510208">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07E6A98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c>
          <w:tcPr>
            <w:tcW w:w="4260" w:type="dxa"/>
            <w:tcBorders>
              <w:top w:val="nil"/>
              <w:left w:val="nil"/>
              <w:bottom w:val="single" w:color="auto" w:sz="8" w:space="0"/>
              <w:right w:val="single" w:color="auto" w:sz="8" w:space="0"/>
            </w:tcBorders>
            <w:noWrap w:val="0"/>
            <w:vAlign w:val="center"/>
          </w:tcPr>
          <w:p w14:paraId="4A3440C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r>
      <w:tr w14:paraId="01342427">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6E2D663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c>
          <w:tcPr>
            <w:tcW w:w="4260" w:type="dxa"/>
            <w:tcBorders>
              <w:top w:val="nil"/>
              <w:left w:val="nil"/>
              <w:bottom w:val="single" w:color="auto" w:sz="8" w:space="0"/>
              <w:right w:val="single" w:color="auto" w:sz="8" w:space="0"/>
            </w:tcBorders>
            <w:noWrap w:val="0"/>
            <w:vAlign w:val="center"/>
          </w:tcPr>
          <w:p w14:paraId="41E6661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r>
      <w:tr w14:paraId="28C1930C">
        <w:tblPrEx>
          <w:tblCellMar>
            <w:top w:w="0" w:type="dxa"/>
            <w:left w:w="108" w:type="dxa"/>
            <w:bottom w:w="0" w:type="dxa"/>
            <w:right w:w="108" w:type="dxa"/>
          </w:tblCellMar>
        </w:tblPrEx>
        <w:trPr>
          <w:trHeight w:val="334"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370875C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法定代表人/</w:t>
            </w:r>
          </w:p>
          <w:p w14:paraId="368BB7C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授权代表人</w:t>
            </w:r>
            <w:r>
              <w:rPr>
                <w:rFonts w:hint="eastAsia" w:ascii="宋体" w:hAnsi="宋体" w:eastAsia="宋体" w:cs="宋体"/>
                <w:color w:val="000000"/>
                <w:kern w:val="0"/>
                <w:sz w:val="24"/>
                <w:szCs w:val="24"/>
                <w:highlight w:val="none"/>
              </w:rPr>
              <w:t>：（签字）</w:t>
            </w:r>
          </w:p>
        </w:tc>
        <w:tc>
          <w:tcPr>
            <w:tcW w:w="4260" w:type="dxa"/>
            <w:tcBorders>
              <w:top w:val="nil"/>
              <w:left w:val="nil"/>
              <w:bottom w:val="single" w:color="auto" w:sz="8" w:space="0"/>
              <w:right w:val="single" w:color="auto" w:sz="8" w:space="0"/>
            </w:tcBorders>
            <w:noWrap w:val="0"/>
            <w:vAlign w:val="center"/>
          </w:tcPr>
          <w:p w14:paraId="61DE7A8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法定代表人：</w:t>
            </w:r>
          </w:p>
        </w:tc>
      </w:tr>
      <w:tr w14:paraId="095725C8">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3E8E097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734AB29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被授权代表：（签字）</w:t>
            </w:r>
          </w:p>
        </w:tc>
      </w:tr>
      <w:tr w14:paraId="2C5D1553">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5E5BC4B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c>
          <w:tcPr>
            <w:tcW w:w="4260" w:type="dxa"/>
            <w:tcBorders>
              <w:top w:val="nil"/>
              <w:left w:val="nil"/>
              <w:bottom w:val="single" w:color="auto" w:sz="8" w:space="0"/>
              <w:right w:val="single" w:color="auto" w:sz="8" w:space="0"/>
            </w:tcBorders>
            <w:noWrap w:val="0"/>
            <w:vAlign w:val="center"/>
          </w:tcPr>
          <w:p w14:paraId="75A7AD9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r>
      <w:tr w14:paraId="5436594C">
        <w:tblPrEx>
          <w:tblCellMar>
            <w:top w:w="0" w:type="dxa"/>
            <w:left w:w="108" w:type="dxa"/>
            <w:bottom w:w="0" w:type="dxa"/>
            <w:right w:w="108" w:type="dxa"/>
          </w:tblCellMar>
        </w:tblPrEx>
        <w:trPr>
          <w:trHeight w:val="325" w:hRule="atLeast"/>
        </w:trPr>
        <w:tc>
          <w:tcPr>
            <w:tcW w:w="4559" w:type="dxa"/>
            <w:vMerge w:val="restart"/>
            <w:tcBorders>
              <w:top w:val="nil"/>
              <w:left w:val="single" w:color="auto" w:sz="8" w:space="0"/>
              <w:bottom w:val="single" w:color="000000" w:sz="8" w:space="0"/>
              <w:right w:val="single" w:color="auto" w:sz="8" w:space="0"/>
            </w:tcBorders>
            <w:noWrap w:val="0"/>
            <w:vAlign w:val="center"/>
          </w:tcPr>
          <w:p w14:paraId="38B64F1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c>
          <w:tcPr>
            <w:tcW w:w="4260" w:type="dxa"/>
            <w:tcBorders>
              <w:top w:val="nil"/>
              <w:left w:val="nil"/>
              <w:bottom w:val="single" w:color="auto" w:sz="8" w:space="0"/>
              <w:right w:val="single" w:color="auto" w:sz="8" w:space="0"/>
            </w:tcBorders>
            <w:noWrap w:val="0"/>
            <w:vAlign w:val="center"/>
          </w:tcPr>
          <w:p w14:paraId="2E5B016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r>
      <w:tr w14:paraId="5E3977C7">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2450281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1955268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开户银行：</w:t>
            </w:r>
          </w:p>
        </w:tc>
      </w:tr>
      <w:tr w14:paraId="5B143965">
        <w:tblPrEx>
          <w:tblCellMar>
            <w:top w:w="0" w:type="dxa"/>
            <w:left w:w="108" w:type="dxa"/>
            <w:bottom w:w="0" w:type="dxa"/>
            <w:right w:w="108" w:type="dxa"/>
          </w:tblCellMar>
        </w:tblPrEx>
        <w:trPr>
          <w:trHeight w:val="325" w:hRule="atLeast"/>
        </w:trPr>
        <w:tc>
          <w:tcPr>
            <w:tcW w:w="4559" w:type="dxa"/>
            <w:vMerge w:val="continue"/>
            <w:tcBorders>
              <w:top w:val="nil"/>
              <w:left w:val="single" w:color="auto" w:sz="8" w:space="0"/>
              <w:bottom w:val="single" w:color="000000" w:sz="8" w:space="0"/>
              <w:right w:val="single" w:color="auto" w:sz="8" w:space="0"/>
            </w:tcBorders>
            <w:noWrap w:val="0"/>
            <w:vAlign w:val="center"/>
          </w:tcPr>
          <w:p w14:paraId="4EA3C7E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single" w:color="auto" w:sz="8" w:space="0"/>
              <w:right w:val="single" w:color="auto" w:sz="8" w:space="0"/>
            </w:tcBorders>
            <w:noWrap w:val="0"/>
            <w:vAlign w:val="center"/>
          </w:tcPr>
          <w:p w14:paraId="279FECD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账号:</w:t>
            </w:r>
          </w:p>
        </w:tc>
      </w:tr>
      <w:tr w14:paraId="37136DBC">
        <w:tblPrEx>
          <w:tblCellMar>
            <w:top w:w="0" w:type="dxa"/>
            <w:left w:w="108" w:type="dxa"/>
            <w:bottom w:w="0" w:type="dxa"/>
            <w:right w:w="108" w:type="dxa"/>
          </w:tblCellMar>
        </w:tblPrEx>
        <w:trPr>
          <w:trHeight w:val="325" w:hRule="atLeast"/>
        </w:trPr>
        <w:tc>
          <w:tcPr>
            <w:tcW w:w="4559" w:type="dxa"/>
            <w:tcBorders>
              <w:top w:val="nil"/>
              <w:left w:val="single" w:color="auto" w:sz="8" w:space="0"/>
              <w:bottom w:val="single" w:color="auto" w:sz="8" w:space="0"/>
              <w:right w:val="single" w:color="auto" w:sz="8" w:space="0"/>
            </w:tcBorders>
            <w:noWrap w:val="0"/>
            <w:vAlign w:val="center"/>
          </w:tcPr>
          <w:p w14:paraId="62BA128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c>
          <w:tcPr>
            <w:tcW w:w="4260" w:type="dxa"/>
            <w:tcBorders>
              <w:top w:val="nil"/>
              <w:left w:val="nil"/>
              <w:bottom w:val="single" w:color="auto" w:sz="8" w:space="0"/>
              <w:right w:val="single" w:color="auto" w:sz="8" w:space="0"/>
            </w:tcBorders>
            <w:noWrap w:val="0"/>
            <w:vAlign w:val="center"/>
          </w:tcPr>
          <w:p w14:paraId="447E6B5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r>
      <w:tr w14:paraId="4060B21D">
        <w:tblPrEx>
          <w:tblCellMar>
            <w:top w:w="0" w:type="dxa"/>
            <w:left w:w="108" w:type="dxa"/>
            <w:bottom w:w="0" w:type="dxa"/>
            <w:right w:w="108" w:type="dxa"/>
          </w:tblCellMar>
        </w:tblPrEx>
        <w:trPr>
          <w:trHeight w:val="325" w:hRule="atLeast"/>
        </w:trPr>
        <w:tc>
          <w:tcPr>
            <w:tcW w:w="4559" w:type="dxa"/>
            <w:tcBorders>
              <w:top w:val="nil"/>
              <w:left w:val="single" w:color="auto" w:sz="8" w:space="0"/>
              <w:bottom w:val="nil"/>
              <w:right w:val="single" w:color="auto" w:sz="8" w:space="0"/>
            </w:tcBorders>
            <w:noWrap w:val="0"/>
            <w:vAlign w:val="center"/>
          </w:tcPr>
          <w:p w14:paraId="01C9D21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见证方</w:t>
            </w:r>
          </w:p>
        </w:tc>
        <w:tc>
          <w:tcPr>
            <w:tcW w:w="4260" w:type="dxa"/>
            <w:tcBorders>
              <w:top w:val="nil"/>
              <w:left w:val="nil"/>
              <w:bottom w:val="nil"/>
              <w:right w:val="nil"/>
            </w:tcBorders>
            <w:noWrap w:val="0"/>
            <w:vAlign w:val="center"/>
          </w:tcPr>
          <w:p w14:paraId="21BDB1E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r>
      <w:tr w14:paraId="35ED07AA">
        <w:tblPrEx>
          <w:tblCellMar>
            <w:top w:w="0" w:type="dxa"/>
            <w:left w:w="108" w:type="dxa"/>
            <w:bottom w:w="0" w:type="dxa"/>
            <w:right w:w="108" w:type="dxa"/>
          </w:tblCellMar>
        </w:tblPrEx>
        <w:trPr>
          <w:trHeight w:val="325" w:hRule="atLeast"/>
        </w:trPr>
        <w:tc>
          <w:tcPr>
            <w:tcW w:w="4559" w:type="dxa"/>
            <w:vMerge w:val="restart"/>
            <w:tcBorders>
              <w:top w:val="single" w:color="auto" w:sz="8" w:space="0"/>
              <w:left w:val="single" w:color="auto" w:sz="8" w:space="0"/>
              <w:right w:val="single" w:color="auto" w:sz="8" w:space="0"/>
            </w:tcBorders>
            <w:noWrap w:val="0"/>
            <w:vAlign w:val="center"/>
          </w:tcPr>
          <w:p w14:paraId="0552775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60" w:type="dxa"/>
            <w:tcBorders>
              <w:top w:val="nil"/>
              <w:left w:val="nil"/>
              <w:bottom w:val="nil"/>
              <w:right w:val="nil"/>
            </w:tcBorders>
            <w:noWrap w:val="0"/>
            <w:vAlign w:val="center"/>
          </w:tcPr>
          <w:p w14:paraId="4725E15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r>
      <w:tr w14:paraId="5CAC59C2">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60D58F5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nil"/>
              <w:right w:val="nil"/>
            </w:tcBorders>
            <w:noWrap w:val="0"/>
            <w:vAlign w:val="center"/>
          </w:tcPr>
          <w:p w14:paraId="0B7E301B">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r>
      <w:tr w14:paraId="7F8E6563">
        <w:tblPrEx>
          <w:tblCellMar>
            <w:top w:w="0" w:type="dxa"/>
            <w:left w:w="108" w:type="dxa"/>
            <w:bottom w:w="0" w:type="dxa"/>
            <w:right w:w="108" w:type="dxa"/>
          </w:tblCellMar>
        </w:tblPrEx>
        <w:trPr>
          <w:trHeight w:val="314" w:hRule="atLeast"/>
        </w:trPr>
        <w:tc>
          <w:tcPr>
            <w:tcW w:w="4559" w:type="dxa"/>
            <w:vMerge w:val="continue"/>
            <w:tcBorders>
              <w:left w:val="single" w:color="auto" w:sz="8" w:space="0"/>
              <w:right w:val="single" w:color="auto" w:sz="8" w:space="0"/>
            </w:tcBorders>
            <w:noWrap w:val="0"/>
            <w:vAlign w:val="center"/>
          </w:tcPr>
          <w:p w14:paraId="244F18C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nil"/>
              <w:right w:val="nil"/>
            </w:tcBorders>
            <w:noWrap w:val="0"/>
            <w:vAlign w:val="center"/>
          </w:tcPr>
          <w:p w14:paraId="5E1436C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r>
      <w:tr w14:paraId="413FA2E9">
        <w:tblPrEx>
          <w:tblCellMar>
            <w:top w:w="0" w:type="dxa"/>
            <w:left w:w="108" w:type="dxa"/>
            <w:bottom w:w="0" w:type="dxa"/>
            <w:right w:w="108" w:type="dxa"/>
          </w:tblCellMar>
        </w:tblPrEx>
        <w:trPr>
          <w:trHeight w:val="314" w:hRule="atLeast"/>
        </w:trPr>
        <w:tc>
          <w:tcPr>
            <w:tcW w:w="4559" w:type="dxa"/>
            <w:vMerge w:val="continue"/>
            <w:tcBorders>
              <w:left w:val="single" w:color="auto" w:sz="8" w:space="0"/>
              <w:bottom w:val="single" w:color="000000" w:sz="8" w:space="0"/>
              <w:right w:val="single" w:color="auto" w:sz="8" w:space="0"/>
            </w:tcBorders>
            <w:noWrap w:val="0"/>
            <w:vAlign w:val="center"/>
          </w:tcPr>
          <w:p w14:paraId="474088CC">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c>
          <w:tcPr>
            <w:tcW w:w="4260" w:type="dxa"/>
            <w:tcBorders>
              <w:top w:val="nil"/>
              <w:left w:val="nil"/>
              <w:bottom w:val="nil"/>
              <w:right w:val="nil"/>
            </w:tcBorders>
            <w:noWrap w:val="0"/>
            <w:vAlign w:val="center"/>
          </w:tcPr>
          <w:p w14:paraId="662545F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szCs w:val="24"/>
                <w:highlight w:val="none"/>
              </w:rPr>
            </w:pPr>
          </w:p>
        </w:tc>
      </w:tr>
      <w:tr w14:paraId="048699B8">
        <w:tblPrEx>
          <w:tblCellMar>
            <w:top w:w="0" w:type="dxa"/>
            <w:left w:w="108" w:type="dxa"/>
            <w:bottom w:w="0" w:type="dxa"/>
            <w:right w:w="108" w:type="dxa"/>
          </w:tblCellMar>
        </w:tblPrEx>
        <w:trPr>
          <w:trHeight w:val="336" w:hRule="atLeast"/>
        </w:trPr>
        <w:tc>
          <w:tcPr>
            <w:tcW w:w="4559" w:type="dxa"/>
            <w:tcBorders>
              <w:top w:val="nil"/>
              <w:left w:val="single" w:color="auto" w:sz="8" w:space="0"/>
              <w:bottom w:val="single" w:color="auto" w:sz="8" w:space="0"/>
              <w:right w:val="single" w:color="auto" w:sz="8" w:space="0"/>
            </w:tcBorders>
            <w:noWrap w:val="0"/>
            <w:vAlign w:val="center"/>
          </w:tcPr>
          <w:p w14:paraId="69DF5F8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日期：     年   月   日</w:t>
            </w:r>
          </w:p>
        </w:tc>
        <w:tc>
          <w:tcPr>
            <w:tcW w:w="4260" w:type="dxa"/>
            <w:tcBorders>
              <w:top w:val="nil"/>
              <w:left w:val="nil"/>
              <w:bottom w:val="nil"/>
              <w:right w:val="nil"/>
            </w:tcBorders>
            <w:noWrap w:val="0"/>
            <w:vAlign w:val="center"/>
          </w:tcPr>
          <w:p w14:paraId="1FDCA86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8"/>
                <w:szCs w:val="28"/>
                <w:highlight w:val="none"/>
              </w:rPr>
            </w:pPr>
          </w:p>
        </w:tc>
      </w:tr>
    </w:tbl>
    <w:p w14:paraId="0A77CB2E">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rPr>
      </w:pPr>
    </w:p>
    <w:p w14:paraId="430C02A7">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rPr>
      </w:pPr>
    </w:p>
    <w:p w14:paraId="17B1E15B">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一、合同条款</w:t>
      </w:r>
    </w:p>
    <w:p w14:paraId="014EF96F">
      <w:pPr>
        <w:pStyle w:val="7"/>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合同条款前附表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6A8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5999297">
            <w:pPr>
              <w:pStyle w:val="7"/>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8558" w:type="dxa"/>
            <w:noWrap w:val="0"/>
            <w:vAlign w:val="center"/>
          </w:tcPr>
          <w:p w14:paraId="38CEA4AB">
            <w:pPr>
              <w:pStyle w:val="7"/>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内容</w:t>
            </w:r>
          </w:p>
        </w:tc>
      </w:tr>
      <w:tr w14:paraId="6911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30AD6F34">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8558" w:type="dxa"/>
            <w:noWrap w:val="0"/>
            <w:vAlign w:val="center"/>
          </w:tcPr>
          <w:p w14:paraId="10EC757A">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合同名称：</w:t>
            </w:r>
          </w:p>
          <w:p w14:paraId="44A91B45">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合同编号：</w:t>
            </w:r>
          </w:p>
        </w:tc>
      </w:tr>
      <w:tr w14:paraId="46CE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E1F7882">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8558" w:type="dxa"/>
            <w:noWrap w:val="0"/>
            <w:vAlign w:val="center"/>
          </w:tcPr>
          <w:p w14:paraId="69580FBD">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甲方名称：</w:t>
            </w:r>
          </w:p>
        </w:tc>
      </w:tr>
      <w:tr w14:paraId="19A5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554CB0B">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p>
        </w:tc>
        <w:tc>
          <w:tcPr>
            <w:tcW w:w="8558" w:type="dxa"/>
            <w:noWrap w:val="0"/>
            <w:vAlign w:val="center"/>
          </w:tcPr>
          <w:p w14:paraId="5FB7069F">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甲方地址：</w:t>
            </w:r>
          </w:p>
        </w:tc>
      </w:tr>
      <w:tr w14:paraId="1B2D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2420F85">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p>
        </w:tc>
        <w:tc>
          <w:tcPr>
            <w:tcW w:w="8558" w:type="dxa"/>
            <w:noWrap w:val="0"/>
            <w:vAlign w:val="center"/>
          </w:tcPr>
          <w:p w14:paraId="208140B4">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甲方联系人：　　　　电话：</w:t>
            </w:r>
          </w:p>
        </w:tc>
      </w:tr>
      <w:tr w14:paraId="7863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6DB45FB">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p>
        </w:tc>
        <w:tc>
          <w:tcPr>
            <w:tcW w:w="8558" w:type="dxa"/>
            <w:noWrap w:val="0"/>
            <w:vAlign w:val="center"/>
          </w:tcPr>
          <w:p w14:paraId="3CF8D658">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乙方名称：</w:t>
            </w:r>
          </w:p>
        </w:tc>
      </w:tr>
      <w:tr w14:paraId="5D9E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06C99D3">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p>
        </w:tc>
        <w:tc>
          <w:tcPr>
            <w:tcW w:w="8558" w:type="dxa"/>
            <w:noWrap w:val="0"/>
            <w:vAlign w:val="center"/>
          </w:tcPr>
          <w:p w14:paraId="6E34E3B8">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乙方地址：</w:t>
            </w:r>
          </w:p>
        </w:tc>
      </w:tr>
      <w:tr w14:paraId="77C4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71D9B51">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p>
        </w:tc>
        <w:tc>
          <w:tcPr>
            <w:tcW w:w="8558" w:type="dxa"/>
            <w:noWrap w:val="0"/>
            <w:vAlign w:val="center"/>
          </w:tcPr>
          <w:p w14:paraId="663DB0F5">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乙方联系人：　　　　电话：</w:t>
            </w:r>
          </w:p>
        </w:tc>
      </w:tr>
      <w:tr w14:paraId="7C28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1C6CB8C">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p>
        </w:tc>
        <w:tc>
          <w:tcPr>
            <w:tcW w:w="8558" w:type="dxa"/>
            <w:noWrap w:val="0"/>
            <w:vAlign w:val="center"/>
          </w:tcPr>
          <w:p w14:paraId="777EF01D">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乙方开户银行名称：</w:t>
            </w:r>
          </w:p>
          <w:p w14:paraId="7DB545F2">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账号：</w:t>
            </w:r>
          </w:p>
        </w:tc>
      </w:tr>
      <w:tr w14:paraId="6C2B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2AEF14A1">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8558" w:type="dxa"/>
            <w:noWrap w:val="0"/>
            <w:vAlign w:val="center"/>
          </w:tcPr>
          <w:p w14:paraId="03BC4BAD">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见证方名称：陕西正信招标有限公司</w:t>
            </w:r>
          </w:p>
        </w:tc>
      </w:tr>
      <w:tr w14:paraId="59B5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715A5DA3">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sz w:val="28"/>
                <w:szCs w:val="28"/>
                <w:highlight w:val="none"/>
              </w:rPr>
            </w:pPr>
          </w:p>
        </w:tc>
        <w:tc>
          <w:tcPr>
            <w:tcW w:w="8558" w:type="dxa"/>
            <w:noWrap w:val="0"/>
            <w:vAlign w:val="center"/>
          </w:tcPr>
          <w:p w14:paraId="571DB8D9">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单位地址：西安市莲湖区环城西路南段元晟合中心6层</w:t>
            </w:r>
          </w:p>
        </w:tc>
      </w:tr>
      <w:tr w14:paraId="353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34E82902">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sz w:val="28"/>
                <w:szCs w:val="28"/>
                <w:highlight w:val="none"/>
              </w:rPr>
            </w:pPr>
          </w:p>
        </w:tc>
        <w:tc>
          <w:tcPr>
            <w:tcW w:w="8558" w:type="dxa"/>
            <w:noWrap w:val="0"/>
            <w:vAlign w:val="center"/>
          </w:tcPr>
          <w:p w14:paraId="0645C192">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联系人：行政部       电话：029-88110800-8</w:t>
            </w:r>
            <w:r>
              <w:rPr>
                <w:rFonts w:hint="eastAsia" w:ascii="宋体" w:hAnsi="宋体" w:eastAsia="宋体" w:cs="宋体"/>
                <w:color w:val="auto"/>
                <w:sz w:val="28"/>
                <w:szCs w:val="28"/>
                <w:highlight w:val="none"/>
                <w:lang w:val="en-US" w:eastAsia="zh-CN"/>
              </w:rPr>
              <w:t>000</w:t>
            </w:r>
          </w:p>
        </w:tc>
      </w:tr>
      <w:tr w14:paraId="715B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DF0C3A0">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w:t>
            </w:r>
          </w:p>
        </w:tc>
        <w:tc>
          <w:tcPr>
            <w:tcW w:w="8558" w:type="dxa"/>
            <w:noWrap w:val="0"/>
            <w:vAlign w:val="center"/>
          </w:tcPr>
          <w:p w14:paraId="6C02E49F">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合同金额：</w:t>
            </w:r>
          </w:p>
        </w:tc>
      </w:tr>
      <w:tr w14:paraId="49D9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8EC9AB6">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w:t>
            </w:r>
          </w:p>
        </w:tc>
        <w:tc>
          <w:tcPr>
            <w:tcW w:w="8558" w:type="dxa"/>
            <w:noWrap w:val="0"/>
            <w:vAlign w:val="center"/>
          </w:tcPr>
          <w:p w14:paraId="1E4EF95E">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服务时间、地点：</w:t>
            </w:r>
          </w:p>
        </w:tc>
      </w:tr>
      <w:tr w14:paraId="2EC9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054931E">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w:t>
            </w:r>
          </w:p>
        </w:tc>
        <w:tc>
          <w:tcPr>
            <w:tcW w:w="8558" w:type="dxa"/>
            <w:noWrap w:val="0"/>
            <w:vAlign w:val="center"/>
          </w:tcPr>
          <w:p w14:paraId="11B33641">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服务履行期：</w:t>
            </w:r>
          </w:p>
        </w:tc>
      </w:tr>
      <w:tr w14:paraId="1C0D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BEBF131">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w:t>
            </w:r>
          </w:p>
        </w:tc>
        <w:tc>
          <w:tcPr>
            <w:tcW w:w="8558" w:type="dxa"/>
            <w:noWrap w:val="0"/>
            <w:vAlign w:val="center"/>
          </w:tcPr>
          <w:p w14:paraId="3CF15537">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验收方式及标准：</w:t>
            </w:r>
          </w:p>
        </w:tc>
      </w:tr>
      <w:tr w14:paraId="49FB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6F420D">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w:t>
            </w:r>
          </w:p>
        </w:tc>
        <w:tc>
          <w:tcPr>
            <w:tcW w:w="8558" w:type="dxa"/>
            <w:noWrap w:val="0"/>
            <w:vAlign w:val="center"/>
          </w:tcPr>
          <w:p w14:paraId="54326BEE">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付款方式：</w:t>
            </w:r>
          </w:p>
        </w:tc>
      </w:tr>
      <w:tr w14:paraId="3582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A5C893F">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p>
        </w:tc>
        <w:tc>
          <w:tcPr>
            <w:tcW w:w="8558" w:type="dxa"/>
            <w:noWrap w:val="0"/>
            <w:vAlign w:val="center"/>
          </w:tcPr>
          <w:p w14:paraId="5047AA2D">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□违约金约定：</w:t>
            </w:r>
            <w:r>
              <w:rPr>
                <w:rFonts w:hint="eastAsia" w:ascii="宋体" w:hAnsi="宋体" w:eastAsia="宋体" w:cs="宋体"/>
                <w:sz w:val="28"/>
                <w:szCs w:val="28"/>
                <w:highlight w:val="none"/>
                <w:lang w:val="en-US" w:eastAsia="zh-CN"/>
              </w:rPr>
              <w:t>合同价款的20%</w:t>
            </w:r>
          </w:p>
          <w:p w14:paraId="0BD9F353">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□损失赔偿约定：</w:t>
            </w:r>
          </w:p>
        </w:tc>
      </w:tr>
      <w:tr w14:paraId="0D46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E8F525C">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p>
        </w:tc>
        <w:tc>
          <w:tcPr>
            <w:tcW w:w="8558" w:type="dxa"/>
            <w:noWrap w:val="0"/>
            <w:vAlign w:val="center"/>
          </w:tcPr>
          <w:p w14:paraId="3A1308B8">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误期赔偿费约定：如果乙方没有按照合同规定的时间提供服务，甲方有权从</w:t>
            </w:r>
            <w:r>
              <w:rPr>
                <w:rFonts w:hint="eastAsia" w:ascii="宋体" w:hAnsi="宋体" w:eastAsia="宋体" w:cs="宋体"/>
                <w:sz w:val="28"/>
                <w:szCs w:val="28"/>
                <w:highlight w:val="none"/>
                <w:lang w:val="en-US" w:eastAsia="zh-CN"/>
              </w:rPr>
              <w:t>合同额</w:t>
            </w:r>
            <w:r>
              <w:rPr>
                <w:rFonts w:hint="eastAsia" w:ascii="宋体" w:hAnsi="宋体" w:eastAsia="宋体" w:cs="宋体"/>
                <w:sz w:val="28"/>
                <w:szCs w:val="28"/>
                <w:highlight w:val="none"/>
              </w:rPr>
              <w:t>中扣除误期赔偿费而不影响合同项下的其他补救方法。赔偿费按每日加收合同金额的0.5%(各单位可根据实际情况重新设定)计收，直至提供服务为止。但误期赔偿费的最高限额不超过合同价的1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%(各单位可根据实际情况重新设定)。</w:t>
            </w:r>
          </w:p>
        </w:tc>
      </w:tr>
      <w:tr w14:paraId="2929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D36AA67">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2</w:t>
            </w:r>
          </w:p>
        </w:tc>
        <w:tc>
          <w:tcPr>
            <w:tcW w:w="8558" w:type="dxa"/>
            <w:noWrap w:val="0"/>
            <w:vAlign w:val="center"/>
          </w:tcPr>
          <w:p w14:paraId="6B1748BE">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pacing w:val="-6"/>
                <w:sz w:val="28"/>
                <w:szCs w:val="28"/>
                <w:highlight w:val="none"/>
              </w:rPr>
              <w:t>合同履行期限：自合同生效之日起至合同全部权利义务履行完毕之日止</w:t>
            </w:r>
            <w:r>
              <w:rPr>
                <w:rFonts w:hint="eastAsia" w:ascii="宋体" w:hAnsi="宋体" w:eastAsia="宋体" w:cs="宋体"/>
                <w:sz w:val="28"/>
                <w:szCs w:val="28"/>
                <w:highlight w:val="none"/>
              </w:rPr>
              <w:t>。</w:t>
            </w:r>
          </w:p>
        </w:tc>
      </w:tr>
      <w:tr w14:paraId="744D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80C4EEF">
            <w:pPr>
              <w:pStyle w:val="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p>
        </w:tc>
        <w:tc>
          <w:tcPr>
            <w:tcW w:w="8558" w:type="dxa"/>
            <w:noWrap w:val="0"/>
            <w:vAlign w:val="center"/>
          </w:tcPr>
          <w:p w14:paraId="59954057">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合同纠纷的解决方式：</w:t>
            </w:r>
          </w:p>
          <w:p w14:paraId="5F6C3C81">
            <w:pPr>
              <w:pStyle w:val="7"/>
              <w:keepNext w:val="0"/>
              <w:keepLines w:val="0"/>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首先通过双方协商解决，协商解决不成，则通过向甲方住所地人民法院提起诉讼</w:t>
            </w:r>
          </w:p>
        </w:tc>
      </w:tr>
    </w:tbl>
    <w:p w14:paraId="235E820B">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1.定义</w:t>
      </w:r>
    </w:p>
    <w:p w14:paraId="75B89EAE">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本合同下列术语应解释为：</w:t>
      </w:r>
    </w:p>
    <w:p w14:paraId="7045E61E">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1.1　“甲方”是指采购人。</w:t>
      </w:r>
    </w:p>
    <w:p w14:paraId="1D97A06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“乙方”是指成交供应商。</w:t>
      </w:r>
    </w:p>
    <w:p w14:paraId="5719E559">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  “见证方”是指采购代理机构。</w:t>
      </w:r>
    </w:p>
    <w:p w14:paraId="2629044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color w:val="auto"/>
          <w:sz w:val="28"/>
          <w:szCs w:val="28"/>
          <w:highlight w:val="none"/>
        </w:rPr>
        <w:t>1.4　“合同”系指甲乙双方签署的、合同中载明的甲乙双方所达成的</w:t>
      </w:r>
      <w:r>
        <w:rPr>
          <w:rFonts w:hint="eastAsia" w:ascii="宋体" w:hAnsi="宋体" w:eastAsia="宋体" w:cs="宋体"/>
          <w:sz w:val="28"/>
          <w:szCs w:val="28"/>
          <w:highlight w:val="none"/>
        </w:rPr>
        <w:t>协议，包括所有的附件、附录和上述文件所提到的构成合同的所有文件。</w:t>
      </w:r>
    </w:p>
    <w:p w14:paraId="783F7D6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1.5　“服务”是指乙方按照招标(采购)、投标(响应)文件要求，向采购人提供的技术支持服务。</w:t>
      </w:r>
    </w:p>
    <w:p w14:paraId="3D39BD2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1.6　“项目现场”是指甲方指定的最终服务地点。</w:t>
      </w:r>
    </w:p>
    <w:p w14:paraId="1AED175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1.7　“天”除非特别指出，“天”均为自然天。</w:t>
      </w:r>
    </w:p>
    <w:p w14:paraId="0B175E4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2.服务标准</w:t>
      </w:r>
    </w:p>
    <w:p w14:paraId="45A1DBC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2.1　乙方为甲方交付的服务应符合招标(采购)文件所述的内容，如果没有提及适用标准，则应符合相应的国家标准。这些标准必须是有关机构发布的最新版本的标准。</w:t>
      </w:r>
    </w:p>
    <w:p w14:paraId="20578978">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2.2　除非技术要求中另有规定，计量单位均采用中华人民共和国法定计量单位。</w:t>
      </w:r>
    </w:p>
    <w:p w14:paraId="4334AD9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3.服务</w:t>
      </w:r>
    </w:p>
    <w:p w14:paraId="1C272E9B">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3.1乙方应按照合同的规定，提供下列服务甲方提供符合要求的服务。</w:t>
      </w:r>
    </w:p>
    <w:p w14:paraId="3F0A4A9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4.知识产权</w:t>
      </w:r>
    </w:p>
    <w:p w14:paraId="7F888393">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4.1　乙方应保证所提供的服务免受第三方提出侵犯其知识产权(专利权、商标权、版权等)的起诉。因侵害他人知识产权而产生的法律责任，全部由供应商承担。</w:t>
      </w:r>
    </w:p>
    <w:p w14:paraId="0B8A077B">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4.2　甲方委托乙方开发的产品，甲方享有知识产权，未经甲方许可不得转让任何第三人。</w:t>
      </w:r>
    </w:p>
    <w:p w14:paraId="077AFCD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5.保密条款</w:t>
      </w:r>
    </w:p>
    <w:p w14:paraId="1780B79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5.1　甲乙双方应对在本合同签订或履行过程中所接触的对方信息，包括但不限于知识产权、技术资料、技术诀窍、内部管理及其他相关信息，负有保密义务。</w:t>
      </w:r>
    </w:p>
    <w:p w14:paraId="67C8BDA8">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EA31BC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(1)应以审慎态度避免泄露、公开或传播甲方的信息；</w:t>
      </w:r>
    </w:p>
    <w:p w14:paraId="4BD5AFC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(2)未经甲方书面许可，不得对有关信息进行修改、补充、复制；</w:t>
      </w:r>
    </w:p>
    <w:p w14:paraId="6DD10D3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(3)未经甲方书面许可，不得将信息以任何方式(如E－mail)携带出甲方场所；</w:t>
      </w:r>
    </w:p>
    <w:p w14:paraId="7319619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(4)未经甲方书面许可，不得将信息透露给任何其他人；</w:t>
      </w:r>
    </w:p>
    <w:p w14:paraId="235C2F6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(5)甲方以书面形式提出的其他保密措施。</w:t>
      </w:r>
    </w:p>
    <w:p w14:paraId="624E993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5.3　保密期限不受合同有效期的限制，在合同有效期结束后，信息接受方仍应承担保密义务，直至该等信息成为公开信息。</w:t>
      </w:r>
    </w:p>
    <w:p w14:paraId="647D0FC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5.4　甲乙双方如出现泄密行为，泄密方应承担相关的法律责任，包括但是不限于对由此给对方造成的经济损失进行赔偿。</w:t>
      </w:r>
    </w:p>
    <w:p w14:paraId="3521DE5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6.服务质量保证</w:t>
      </w:r>
    </w:p>
    <w:p w14:paraId="436EB39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33B0EB8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6.2　乙方应保证通过执行合同中全部方案后，可以取得本合同规定的结果，达到本合同规定的预期目标。对任何情况下出现问题的，应尽快提出解决方案。</w:t>
      </w:r>
    </w:p>
    <w:p w14:paraId="4A99EBB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6.3　如果乙方提供的服务和解决方案不符合甲方要求，或在规定的时间内没有弥补缺陷，甲方有权采取一切必要的补救措施，由此产生的费用全部由乙方负责。</w:t>
      </w:r>
    </w:p>
    <w:p w14:paraId="5E5B2BC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.服务时间、地点与验收</w:t>
      </w:r>
    </w:p>
    <w:p w14:paraId="7927210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.1　服务地点：合同条款前附表指定地点。</w:t>
      </w:r>
    </w:p>
    <w:p w14:paraId="229AEF0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.2　服务时间：合同条款前附表指定时间。</w:t>
      </w:r>
    </w:p>
    <w:p w14:paraId="780A493E">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.3　甲方应在乙方完成相关服务工作后及时对服务质量、技术指标、服务成果进行验收。</w:t>
      </w:r>
    </w:p>
    <w:p w14:paraId="12F7976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.违约责任</w:t>
      </w:r>
    </w:p>
    <w:p w14:paraId="5AB7EAB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.1　服务缺陷的补救措施和索赔</w:t>
      </w:r>
    </w:p>
    <w:p w14:paraId="291DC05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(1)如果乙方提供的服务不符合本合同约定以及磋商文件、响应文件关于服务的要求和承诺，乙方应按照甲方同意的下列一种或几种方式结合起来解决索赔事宜：</w:t>
      </w:r>
    </w:p>
    <w:p w14:paraId="6557A25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4F50B9D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②根据服务的质量状况以及甲方所遭受的损失，经过甲乙双方商定降低服务的价格。</w:t>
      </w:r>
    </w:p>
    <w:p w14:paraId="23C8D1E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80A364E">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.2　迟延履约的违约责任</w:t>
      </w:r>
    </w:p>
    <w:p w14:paraId="1536E58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(1)乙方应按照本合同规定的时间、地点提供服务。</w:t>
      </w:r>
    </w:p>
    <w:p w14:paraId="42F0E47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CB4356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w:t>
      </w:r>
    </w:p>
    <w:p w14:paraId="24851503">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0790F4B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.3　未履行合同义务的违约责任</w:t>
      </w:r>
    </w:p>
    <w:p w14:paraId="73F8052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(1)守约方有权终止全部或部分合同。</w:t>
      </w:r>
    </w:p>
    <w:p w14:paraId="3DD6E4A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(2)由违约一方支付违约金，违约金标准见合同条款前附表。</w:t>
      </w:r>
    </w:p>
    <w:p w14:paraId="2E7D783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(3)违约金不足以弥补守约方实际损失、可预见或者应当预见的损失，由违约方全额予以赔偿。</w:t>
      </w:r>
    </w:p>
    <w:p w14:paraId="7C03053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10.不可抗力</w:t>
      </w:r>
    </w:p>
    <w:p w14:paraId="3F568E5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10.1　如果合同双方因不可抗力而导致合同实施延误或合同无法实施，不应该承担误期赔偿或不能履行合同义务的责任。</w:t>
      </w:r>
    </w:p>
    <w:p w14:paraId="40B05AD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.2　本条所述的“不可抗力”系指那些双方不可预见、不可避免、不可克服的客观情况，但不包括双方的违约或疏忽。这些事件包括但不限于：战争、严重火灾、洪水、台风、地震等。</w:t>
      </w:r>
    </w:p>
    <w:p w14:paraId="2CB5D85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5CE0C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.合同纠纷的解决方式</w:t>
      </w:r>
    </w:p>
    <w:p w14:paraId="415933C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.1　合同各方应通过友好协商，解决在执行合同过程中所发生的或与合同有关的一切争端。如协商30日内(根据实际情况设定)不能解决，可以按合同规定的方式提起仲裁或诉讼。</w:t>
      </w:r>
    </w:p>
    <w:p w14:paraId="43C252C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.2　仲裁裁决应为最终裁决，对双方均具有约束力。</w:t>
      </w:r>
    </w:p>
    <w:p w14:paraId="5C69B13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.3　仲裁费除仲裁机关另有裁决外应由败诉方负担。</w:t>
      </w:r>
    </w:p>
    <w:p w14:paraId="4DCCE8C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.4　诉讼应由甲方住所地人民法院管辖。财产保全担保保险费、财产保全申请费、律师代理费、差旅费、评估费、鉴定费诉讼费等与仲裁或诉讼活动相关费用应由败诉方负担。</w:t>
      </w:r>
    </w:p>
    <w:p w14:paraId="5EEA3CA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.5　如仲裁或诉讼事项不影响合同其他部分的履行，则在仲裁或诉讼期间，除正在进行仲裁或诉讼的部分外，合同的其他部分应继续执行。</w:t>
      </w:r>
    </w:p>
    <w:p w14:paraId="5DD5708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.合同修改或变更</w:t>
      </w:r>
    </w:p>
    <w:p w14:paraId="39E33E1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.1　如无重大变故，甲方双方不得擅自变更合同。</w:t>
      </w:r>
    </w:p>
    <w:p w14:paraId="38EB6A0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.2　如确需变更合同，甲乙双方应签署书面变更协议。变更协议为本合同不可分割的一部分。</w:t>
      </w:r>
    </w:p>
    <w:p w14:paraId="294D3EA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.3　在不改变合同其他条款的前提下，甲方有权在合同价款10%的范围内追加与合同标的相同的货物或服务，并就此与乙方签订补充合同，乙方不得拒绝。</w:t>
      </w:r>
    </w:p>
    <w:p w14:paraId="03A0A19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.合同中止</w:t>
      </w:r>
    </w:p>
    <w:p w14:paraId="5E896C2E">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.1合同在履行过程中，因采购计划调整，甲方可以要求中止履行，待计划确定后继续履行</w:t>
      </w:r>
      <w:r>
        <w:rPr>
          <w:rFonts w:hint="eastAsia" w:ascii="宋体" w:hAnsi="宋体" w:eastAsia="宋体" w:cs="宋体"/>
          <w:sz w:val="28"/>
          <w:szCs w:val="28"/>
          <w:highlight w:val="none"/>
          <w:lang w:eastAsia="zh-CN"/>
        </w:rPr>
        <w:t>，且甲方不承担任何合同违约责任</w:t>
      </w:r>
      <w:r>
        <w:rPr>
          <w:rFonts w:hint="eastAsia" w:ascii="宋体" w:hAnsi="宋体" w:eastAsia="宋体" w:cs="宋体"/>
          <w:sz w:val="28"/>
          <w:szCs w:val="28"/>
          <w:highlight w:val="none"/>
        </w:rPr>
        <w:t>；合同履行过程中因供应商就采购过程或结果提起投诉的，甲方认为有必要或财政部责令中止的，应当中止合同的履行</w:t>
      </w:r>
      <w:r>
        <w:rPr>
          <w:rFonts w:hint="eastAsia" w:ascii="宋体" w:hAnsi="宋体" w:eastAsia="宋体" w:cs="宋体"/>
          <w:sz w:val="28"/>
          <w:szCs w:val="28"/>
          <w:highlight w:val="none"/>
          <w:lang w:eastAsia="zh-CN"/>
        </w:rPr>
        <w:t>，且甲方不承担任何合同违约责任</w:t>
      </w:r>
      <w:r>
        <w:rPr>
          <w:rFonts w:hint="eastAsia" w:ascii="宋体" w:hAnsi="宋体" w:eastAsia="宋体" w:cs="宋体"/>
          <w:sz w:val="28"/>
          <w:szCs w:val="28"/>
          <w:highlight w:val="none"/>
        </w:rPr>
        <w:t>。</w:t>
      </w:r>
    </w:p>
    <w:p w14:paraId="1FB531FB">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.违约终止合同</w:t>
      </w:r>
    </w:p>
    <w:p w14:paraId="286899B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　若出现如下情况，在甲方对乙方违约行为而采取的任何补救措施不受影响的情况下，甲方可向乙方发出书面通知书，提出终止部分或全部合同。</w:t>
      </w:r>
    </w:p>
    <w:p w14:paraId="249268B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.1.1　如果乙方未能在合同规定的期限或甲方同意延长的期限内提供服务；</w:t>
      </w:r>
    </w:p>
    <w:p w14:paraId="047BC4A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.1.2　因乙方技术人员自身技术能力、经验不足等原因造成甲方硬件设备、应用系统发生重大紧急故障或应用系统数据丢失，带来重大影响和损失的；</w:t>
      </w:r>
    </w:p>
    <w:p w14:paraId="49AA8AC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.1.3　乙方对甲方硬件设备、应用系统重大紧急故障没有及时响应，或不能在规定时间内解决处理故障，恢复系统正常运行的；</w:t>
      </w:r>
    </w:p>
    <w:p w14:paraId="17EAA453">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.1.4　不能满足本项目技术需求的管理要求和规范，且经多次整改无明显改进的；</w:t>
      </w:r>
    </w:p>
    <w:p w14:paraId="4A85716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.1.5　在合同规定的每个服务年度(12个自然月)内，在运行维护支持服务过程中，出现2次经甲乙双方确认的违规操作的。</w:t>
      </w:r>
    </w:p>
    <w:p w14:paraId="1005521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.2　如果甲方根据上述第14.1条的规定，终止了全部或部分合同，甲方可以适当的条件和方法购买乙方未能提供的服务，乙方应对甲方购买类似服务所超出的费用负责。同时，乙方应继续执行合同中未终止的部分。</w:t>
      </w:r>
    </w:p>
    <w:p w14:paraId="21875D02">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.破产终止合同</w:t>
      </w:r>
    </w:p>
    <w:p w14:paraId="78F1A31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.1　如果乙方破产或无清偿能力，甲方可在任何时候以书面形式通知乙方终止合同而不给乙方补偿。</w:t>
      </w:r>
    </w:p>
    <w:p w14:paraId="6569E6C8">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.2　该终止行为将不损害或影响甲方已经采取或将要采取的任何行动或补救措施的权利。</w:t>
      </w:r>
    </w:p>
    <w:p w14:paraId="017D0556">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.其他情况的终止合同</w:t>
      </w:r>
    </w:p>
    <w:p w14:paraId="27113679">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.1　若合同继续履行将给甲方造成重大损失的，甲方可以终止合同而不给予乙方任何补偿。</w:t>
      </w:r>
    </w:p>
    <w:p w14:paraId="44D5616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.2　乙方在执行合同的过程中发生重大事故，对履行合同有直接影响的，甲方可以终止合同而不给予乙方任何补偿。</w:t>
      </w:r>
    </w:p>
    <w:p w14:paraId="544D7CB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.3　甲方因重大变故取消或部分取消原来的采购任务，导致合同全部或部分内容无须继续履行的，可以终止合同而不给予乙方任何补偿。</w:t>
      </w:r>
    </w:p>
    <w:p w14:paraId="1D4D67CC">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.合同转让和分包</w:t>
      </w:r>
    </w:p>
    <w:p w14:paraId="3E771A6B">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.1　乙方不得以任何形式将合同转包，或部分或全部转让其应履行的合同义务。</w:t>
      </w:r>
    </w:p>
    <w:p w14:paraId="5DAE7634">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.2　除经甲方事先书面同意外，乙方不得以任何形式将合同分包。</w:t>
      </w:r>
    </w:p>
    <w:p w14:paraId="1888D850">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.适用法律</w:t>
      </w:r>
    </w:p>
    <w:p w14:paraId="08A14C6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.1　本合同适用中华人民共和国现行法律、行政法规和规章，如合同条款与法律、行政法规和规章不一致的，按照法律、行政法规和规章修改本合同。</w:t>
      </w:r>
    </w:p>
    <w:p w14:paraId="77B9626A">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.合同语言</w:t>
      </w:r>
    </w:p>
    <w:p w14:paraId="399E986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.1　本合同语言为中文。</w:t>
      </w:r>
    </w:p>
    <w:p w14:paraId="65348B71">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.2　双方交换的与合同有关的信件和其他文件应用合同语言书写。</w:t>
      </w:r>
    </w:p>
    <w:p w14:paraId="2C6321C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19</w:t>
      </w:r>
      <w:r>
        <w:rPr>
          <w:rFonts w:hint="eastAsia" w:ascii="宋体" w:hAnsi="宋体" w:eastAsia="宋体" w:cs="宋体"/>
          <w:sz w:val="28"/>
          <w:szCs w:val="28"/>
          <w:highlight w:val="none"/>
        </w:rPr>
        <w:t>.合同生效</w:t>
      </w:r>
    </w:p>
    <w:p w14:paraId="0FAA02F5">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19</w:t>
      </w:r>
      <w:r>
        <w:rPr>
          <w:rFonts w:hint="eastAsia" w:ascii="宋体" w:hAnsi="宋体" w:eastAsia="宋体" w:cs="宋体"/>
          <w:sz w:val="28"/>
          <w:szCs w:val="28"/>
          <w:highlight w:val="none"/>
        </w:rPr>
        <w:t>.1　本合同应在双方签字盖章后生效。</w:t>
      </w:r>
    </w:p>
    <w:p w14:paraId="456A043F">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20</w:t>
      </w:r>
      <w:r>
        <w:rPr>
          <w:rFonts w:hint="eastAsia" w:ascii="宋体" w:hAnsi="宋体" w:eastAsia="宋体" w:cs="宋体"/>
          <w:sz w:val="28"/>
          <w:szCs w:val="28"/>
          <w:highlight w:val="none"/>
        </w:rPr>
        <w:t>.合同效力</w:t>
      </w:r>
    </w:p>
    <w:p w14:paraId="554D2F5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.1　除本合同和甲乙双方书面签署的补充协议外，其他任何形式的双方约定和往来函件均不具有法律效力，对本项目无约束力。</w:t>
      </w:r>
    </w:p>
    <w:p w14:paraId="521150F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.检查和审计</w:t>
      </w:r>
    </w:p>
    <w:p w14:paraId="01A4A007">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.1在本合同的履行过程中，甲方有权对乙方的合同履约情况进行阶段性检查，并对乙方磋商时提供的相关资料进行复核。</w:t>
      </w:r>
    </w:p>
    <w:p w14:paraId="6F9A54D3">
      <w:pPr>
        <w:keepNext w:val="0"/>
        <w:keepLines w:val="0"/>
        <w:pageBreakBefore w:val="0"/>
        <w:kinsoku/>
        <w:wordWrap/>
        <w:overflowPunct/>
        <w:topLinePunct w:val="0"/>
        <w:autoSpaceDE/>
        <w:autoSpaceDN/>
        <w:bidi w:val="0"/>
        <w:adjustRightInd/>
        <w:snapToGrid/>
        <w:spacing w:line="560" w:lineRule="exact"/>
        <w:ind w:firstLine="420" w:firstLineChars="15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7C076425">
      <w:pPr>
        <w:pStyle w:val="18"/>
        <w:rPr>
          <w:rFonts w:hint="default" w:ascii="宋体" w:hAnsi="宋体" w:eastAsia="宋体"/>
        </w:rPr>
      </w:pPr>
    </w:p>
    <w:p w14:paraId="7381B344">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309B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4A4E9">
                          <w:pPr>
                            <w:pStyle w:val="8"/>
                            <w:rPr>
                              <w:rStyle w:val="12"/>
                              <w:rFonts w:hint="eastAsia"/>
                            </w:rPr>
                          </w:pPr>
                          <w:r>
                            <w:rPr>
                              <w:rStyle w:val="12"/>
                              <w:rFonts w:hint="eastAsia"/>
                            </w:rPr>
                            <w:t xml:space="preserve">第 </w:t>
                          </w:r>
                          <w:r>
                            <w:rPr>
                              <w:rStyle w:val="12"/>
                              <w:rFonts w:hint="eastAsia"/>
                            </w:rPr>
                            <w:fldChar w:fldCharType="begin"/>
                          </w:r>
                          <w:r>
                            <w:rPr>
                              <w:rStyle w:val="12"/>
                              <w:rFonts w:hint="eastAsia"/>
                            </w:rPr>
                            <w:instrText xml:space="preserve"> PAGE  \* MERGEFORMAT </w:instrText>
                          </w:r>
                          <w:r>
                            <w:rPr>
                              <w:rStyle w:val="12"/>
                              <w:rFonts w:hint="eastAsia"/>
                            </w:rPr>
                            <w:fldChar w:fldCharType="separate"/>
                          </w:r>
                          <w:r>
                            <w:rPr>
                              <w:rStyle w:val="12"/>
                              <w:rFonts w:hint="eastAsia"/>
                            </w:rPr>
                            <w:t>1</w:t>
                          </w:r>
                          <w:r>
                            <w:rPr>
                              <w:rStyle w:val="12"/>
                              <w:rFonts w:hint="eastAsia"/>
                            </w:rPr>
                            <w:fldChar w:fldCharType="end"/>
                          </w:r>
                          <w:r>
                            <w:rPr>
                              <w:rStyle w:val="12"/>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E4A4E9">
                    <w:pPr>
                      <w:pStyle w:val="8"/>
                      <w:rPr>
                        <w:rStyle w:val="12"/>
                        <w:rFonts w:hint="eastAsia"/>
                      </w:rPr>
                    </w:pPr>
                    <w:r>
                      <w:rPr>
                        <w:rStyle w:val="12"/>
                        <w:rFonts w:hint="eastAsia"/>
                      </w:rPr>
                      <w:t xml:space="preserve">第 </w:t>
                    </w:r>
                    <w:r>
                      <w:rPr>
                        <w:rStyle w:val="12"/>
                        <w:rFonts w:hint="eastAsia"/>
                      </w:rPr>
                      <w:fldChar w:fldCharType="begin"/>
                    </w:r>
                    <w:r>
                      <w:rPr>
                        <w:rStyle w:val="12"/>
                        <w:rFonts w:hint="eastAsia"/>
                      </w:rPr>
                      <w:instrText xml:space="preserve"> PAGE  \* MERGEFORMAT </w:instrText>
                    </w:r>
                    <w:r>
                      <w:rPr>
                        <w:rStyle w:val="12"/>
                        <w:rFonts w:hint="eastAsia"/>
                      </w:rPr>
                      <w:fldChar w:fldCharType="separate"/>
                    </w:r>
                    <w:r>
                      <w:rPr>
                        <w:rStyle w:val="12"/>
                        <w:rFonts w:hint="eastAsia"/>
                      </w:rPr>
                      <w:t>1</w:t>
                    </w:r>
                    <w:r>
                      <w:rPr>
                        <w:rStyle w:val="12"/>
                        <w:rFonts w:hint="eastAsia"/>
                      </w:rPr>
                      <w:fldChar w:fldCharType="end"/>
                    </w:r>
                    <w:r>
                      <w:rPr>
                        <w:rStyle w:val="12"/>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755784B"/>
    <w:rsid w:val="29B7714B"/>
    <w:rsid w:val="2A09202A"/>
    <w:rsid w:val="2B57116C"/>
    <w:rsid w:val="2D012D2F"/>
    <w:rsid w:val="2DC047AC"/>
    <w:rsid w:val="321C71DE"/>
    <w:rsid w:val="3319722D"/>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2"/>
    <w:link w:val="16"/>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page number"/>
    <w:basedOn w:val="11"/>
    <w:qFormat/>
    <w:uiPriority w:val="0"/>
  </w:style>
  <w:style w:type="paragraph" w:customStyle="1" w:styleId="13">
    <w:name w:val="列出段落1"/>
    <w:basedOn w:val="1"/>
    <w:autoRedefine/>
    <w:qFormat/>
    <w:uiPriority w:val="34"/>
    <w:pPr>
      <w:ind w:firstLine="420" w:firstLineChars="200"/>
    </w:p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3"/>
    <w:qFormat/>
    <w:uiPriority w:val="0"/>
    <w:rPr>
      <w:rFonts w:ascii="Times New Roman" w:hAnsi="Times New Roman" w:eastAsia="宋体" w:cs="Times New Roman"/>
      <w:b/>
      <w:kern w:val="44"/>
      <w:sz w:val="32"/>
      <w:szCs w:val="21"/>
    </w:rPr>
  </w:style>
  <w:style w:type="character" w:customStyle="1" w:styleId="16">
    <w:name w:val="标题 2 Char"/>
    <w:link w:val="4"/>
    <w:qFormat/>
    <w:uiPriority w:val="9"/>
    <w:rPr>
      <w:rFonts w:ascii="Cambria" w:hAnsi="Cambria" w:eastAsia="宋体" w:cs="Times New Roman"/>
      <w:b/>
      <w:bCs/>
      <w:kern w:val="0"/>
      <w:sz w:val="28"/>
      <w:szCs w:val="32"/>
    </w:rPr>
  </w:style>
  <w:style w:type="character" w:customStyle="1" w:styleId="17">
    <w:name w:val="标题 3 字符"/>
    <w:link w:val="5"/>
    <w:qFormat/>
    <w:uiPriority w:val="0"/>
    <w:rPr>
      <w:rFonts w:ascii="Times New Roman" w:hAnsi="Times New Roman" w:eastAsia="宋体" w:cs="Times New Roman"/>
      <w:b/>
      <w:bCs/>
      <w:sz w:val="32"/>
      <w:szCs w:val="32"/>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4898</Words>
  <Characters>5335</Characters>
  <Lines>0</Lines>
  <Paragraphs>0</Paragraphs>
  <TotalTime>0</TotalTime>
  <ScaleCrop>false</ScaleCrop>
  <LinksUpToDate>false</LinksUpToDate>
  <CharactersWithSpaces>5456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acer</cp:lastModifiedBy>
  <dcterms:modified xsi:type="dcterms:W3CDTF">2025-09-02T09:37:03Z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9A6025B7943745DEB259778FDE9BD15D_11</vt:lpwstr>
  </property>
  <property fmtid="{D5CDD505-2E9C-101B-9397-08002B2CF9AE}" pid="4" name="KSOTemplateDocerSaveRecord">
    <vt:lpwstr>eyJoZGlkIjoiZGY4NjQ1YTM1ODdjNWViOTZlZDJjZDg3OTRiOWIxYTgiLCJ1c2VySWQiOiIzMzkyNTMxMTAifQ==</vt:lpwstr>
  </property>
</Properties>
</file>