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版本号：DQA-2025094-ZB20250901001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煤化工企业地块土壤治理修复技术应用示范项目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DQA-2025094-ZB</w:t>
      </w:r>
      <w:r>
        <w:br/>
      </w:r>
      <w:r>
        <w:br/>
      </w:r>
      <w:r>
        <w:br/>
      </w:r>
    </w:p>
    <w:p>
      <w:pPr>
        <w:pStyle w:val="null3"/>
        <w:jc w:val="center"/>
        <w:outlineLvl w:val="2"/>
      </w:pPr>
      <w:r>
        <w:rPr>
          <w:rFonts w:ascii="仿宋_GB2312" w:hAnsi="仿宋_GB2312" w:cs="仿宋_GB2312" w:eastAsia="仿宋_GB2312"/>
          <w:sz w:val="28"/>
          <w:b/>
        </w:rPr>
        <w:t>陕西省环境科学研究院</w:t>
      </w:r>
    </w:p>
    <w:p>
      <w:pPr>
        <w:pStyle w:val="null3"/>
        <w:jc w:val="center"/>
        <w:outlineLvl w:val="2"/>
      </w:pPr>
      <w:r>
        <w:rPr>
          <w:rFonts w:ascii="仿宋_GB2312" w:hAnsi="仿宋_GB2312" w:cs="仿宋_GB2312" w:eastAsia="仿宋_GB2312"/>
          <w:sz w:val="28"/>
          <w:b/>
        </w:rPr>
        <w:t>陕西德勤招标有限公司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陕西德勤招标有限公司</w:t>
      </w:r>
      <w:r>
        <w:rPr>
          <w:rFonts w:ascii="仿宋_GB2312" w:hAnsi="仿宋_GB2312" w:cs="仿宋_GB2312" w:eastAsia="仿宋_GB2312"/>
        </w:rPr>
        <w:t>（以下简称“代理机构”）受</w:t>
      </w:r>
      <w:r>
        <w:rPr>
          <w:rFonts w:ascii="仿宋_GB2312" w:hAnsi="仿宋_GB2312" w:cs="仿宋_GB2312" w:eastAsia="仿宋_GB2312"/>
        </w:rPr>
        <w:t>陕西省环境科学研究院</w:t>
      </w:r>
      <w:r>
        <w:rPr>
          <w:rFonts w:ascii="仿宋_GB2312" w:hAnsi="仿宋_GB2312" w:cs="仿宋_GB2312" w:eastAsia="仿宋_GB2312"/>
        </w:rPr>
        <w:t>委托，拟对</w:t>
      </w:r>
      <w:r>
        <w:rPr>
          <w:rFonts w:ascii="仿宋_GB2312" w:hAnsi="仿宋_GB2312" w:cs="仿宋_GB2312" w:eastAsia="仿宋_GB2312"/>
        </w:rPr>
        <w:t>煤化工企业地块土壤治理修复技术应用示范项目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DQA-2025094-ZB</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煤化工企业地块土壤治理修复技术应用示范项目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根据地块污染调查以及物探结果等，编制以微生物技术、化学氧化/还原修复技术和常温热解吸技术为主要修复技术在内的修复方案，对煤化工企业地块进行修复示范，所有污染土壤修复达标后回填。按国家、现行有关标准、规范、规程等相关要求，开展修复示范项目的修复效果评估工作。本项目分为两个标包，1包煤化工企业地块土壤修复技术应用示范，2包煤化工企业地块土壤修复效果评估。</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1、主体资格证明文件：提供有效存续的企业营业执照（副本）/事业单位法人证书/专业服务机构执业许可证/民办非企业单位登记证书等主体资格证明文件，自然人投标提供其身份证明文件。</w:t>
      </w:r>
    </w:p>
    <w:p>
      <w:pPr>
        <w:pStyle w:val="null3"/>
      </w:pPr>
      <w:r>
        <w:rPr>
          <w:rFonts w:ascii="仿宋_GB2312" w:hAnsi="仿宋_GB2312" w:cs="仿宋_GB2312" w:eastAsia="仿宋_GB2312"/>
        </w:rPr>
        <w:t>2、财务状况报告：提供2024年度经审计的财务报告（成立时间至提交投标文件截止时间不足一年的可提供成立后任意时段的资产负债表），或其递交投标文件截止之日前三个月内基本开户银行出具的资信证明(以上两种形式的资料提供任何一种即可）。</w:t>
      </w:r>
    </w:p>
    <w:p>
      <w:pPr>
        <w:pStyle w:val="null3"/>
      </w:pPr>
      <w:r>
        <w:rPr>
          <w:rFonts w:ascii="仿宋_GB2312" w:hAnsi="仿宋_GB2312" w:cs="仿宋_GB2312" w:eastAsia="仿宋_GB2312"/>
        </w:rPr>
        <w:t>3、书面声明：提供书面声明，包括声明具有履行合同所必需的设备和专业技术能力。</w:t>
      </w:r>
    </w:p>
    <w:p>
      <w:pPr>
        <w:pStyle w:val="null3"/>
      </w:pPr>
      <w:r>
        <w:rPr>
          <w:rFonts w:ascii="仿宋_GB2312" w:hAnsi="仿宋_GB2312" w:cs="仿宋_GB2312" w:eastAsia="仿宋_GB2312"/>
        </w:rPr>
        <w:t>4、社保缴纳证明：提供递交投标文件截止之日前一年内任意一个月的社会保障资金缴存单据或社保机构开具的社会保险参保缴费情况证明。依法不需要缴纳社会保障资金的投标供应商应提供相关证明文件。</w:t>
      </w:r>
    </w:p>
    <w:p>
      <w:pPr>
        <w:pStyle w:val="null3"/>
      </w:pPr>
      <w:r>
        <w:rPr>
          <w:rFonts w:ascii="仿宋_GB2312" w:hAnsi="仿宋_GB2312" w:cs="仿宋_GB2312" w:eastAsia="仿宋_GB2312"/>
        </w:rPr>
        <w:t>5、税收缴纳证明：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供应商，应提供相应证明文件。</w:t>
      </w:r>
    </w:p>
    <w:p>
      <w:pPr>
        <w:pStyle w:val="null3"/>
      </w:pPr>
      <w:r>
        <w:rPr>
          <w:rFonts w:ascii="仿宋_GB2312" w:hAnsi="仿宋_GB2312" w:cs="仿宋_GB2312" w:eastAsia="仿宋_GB2312"/>
        </w:rPr>
        <w:t>6、近三年无重大违法、违纪书面声明：提供《近三年无重大违法、违纪书面声明》。</w:t>
      </w:r>
    </w:p>
    <w:p>
      <w:pPr>
        <w:pStyle w:val="null3"/>
      </w:pPr>
      <w:r>
        <w:rPr>
          <w:rFonts w:ascii="仿宋_GB2312" w:hAnsi="仿宋_GB2312" w:cs="仿宋_GB2312" w:eastAsia="仿宋_GB2312"/>
        </w:rPr>
        <w:t>7、信用记录：投标供应商未被列入“信用中国”网站记录的“失信被执行人”或“重大税收违法失信主体”名单 ；不处于“中国政府采购网”记录的“政府采购严重违法失信行为记录名单”中的禁止参加政府采购活动期间。（以采购人或采购代理机构开标当天查询结果为准）。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8、控股管理关系：提供直接控股和管理关系清单。若与其他投标人存在单位负责人为同一人或者存在直接控股、管理关系的，则投标无效。</w:t>
      </w:r>
    </w:p>
    <w:p>
      <w:pPr>
        <w:pStyle w:val="null3"/>
      </w:pPr>
      <w:r>
        <w:rPr>
          <w:rFonts w:ascii="仿宋_GB2312" w:hAnsi="仿宋_GB2312" w:cs="仿宋_GB2312" w:eastAsia="仿宋_GB2312"/>
        </w:rPr>
        <w:t>9、法定代表人授权委托书：法定代表人参加投标的，须提供本人身份证复印件（附在投标文件中）；法定代表人授权他人参加投标的，须提供法定代表人授权委托书。投标文件中凡是需要法定代表人盖章之处，非法人单位的负责人均参照执行。法人的分支机构参与投标时，除提供《法定代表人授权委托书》外，还须同时提供总公司给分支机构出具的授权书。</w:t>
      </w:r>
    </w:p>
    <w:p>
      <w:pPr>
        <w:pStyle w:val="null3"/>
      </w:pPr>
      <w:r>
        <w:rPr>
          <w:rFonts w:ascii="仿宋_GB2312" w:hAnsi="仿宋_GB2312" w:cs="仿宋_GB2312" w:eastAsia="仿宋_GB2312"/>
        </w:rPr>
        <w:t>10、本项目不接受联合体投标，不允许分包：投标供应商应提供《非联合体不分包投标声明》，视为独立投标，不分包。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1、主体资格证明文件：提供有效存续的企业营业执照（副本）/事业单位法人证书/专业服务机构执业许可证/民办非企业单位登记证书等主体资格证明文件，自然人投标提供其身份证明文件。</w:t>
      </w:r>
    </w:p>
    <w:p>
      <w:pPr>
        <w:pStyle w:val="null3"/>
      </w:pPr>
      <w:r>
        <w:rPr>
          <w:rFonts w:ascii="仿宋_GB2312" w:hAnsi="仿宋_GB2312" w:cs="仿宋_GB2312" w:eastAsia="仿宋_GB2312"/>
        </w:rPr>
        <w:t>2、财务状况报告：提供2024年度经审计的财务报告（成立时间至提交投标文件截止时间不足一年的可提供成立后任意时段的资产负债表），或其递交投标文件截止之日前三个月内基本开户银行出具的资信证明(以上两种形式的资料提供任何一种即可）。</w:t>
      </w:r>
    </w:p>
    <w:p>
      <w:pPr>
        <w:pStyle w:val="null3"/>
      </w:pPr>
      <w:r>
        <w:rPr>
          <w:rFonts w:ascii="仿宋_GB2312" w:hAnsi="仿宋_GB2312" w:cs="仿宋_GB2312" w:eastAsia="仿宋_GB2312"/>
        </w:rPr>
        <w:t>3、书面声明：提供书面声明，包括声明具有履行合同所必需的设备和专业技术能力。</w:t>
      </w:r>
    </w:p>
    <w:p>
      <w:pPr>
        <w:pStyle w:val="null3"/>
      </w:pPr>
      <w:r>
        <w:rPr>
          <w:rFonts w:ascii="仿宋_GB2312" w:hAnsi="仿宋_GB2312" w:cs="仿宋_GB2312" w:eastAsia="仿宋_GB2312"/>
        </w:rPr>
        <w:t>4、社保缴纳证明：提供递交投标文件截止之日前一年内任意一个月的社会保障资金缴存单据或社保机构开具的社会保险参保缴费情况证明。依法不需要缴纳社会保障资金的投标供应商应提供相关证明文件。</w:t>
      </w:r>
    </w:p>
    <w:p>
      <w:pPr>
        <w:pStyle w:val="null3"/>
      </w:pPr>
      <w:r>
        <w:rPr>
          <w:rFonts w:ascii="仿宋_GB2312" w:hAnsi="仿宋_GB2312" w:cs="仿宋_GB2312" w:eastAsia="仿宋_GB2312"/>
        </w:rPr>
        <w:t>5、税收缴纳证明：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供应商，应提供相应证明文件。</w:t>
      </w:r>
    </w:p>
    <w:p>
      <w:pPr>
        <w:pStyle w:val="null3"/>
      </w:pPr>
      <w:r>
        <w:rPr>
          <w:rFonts w:ascii="仿宋_GB2312" w:hAnsi="仿宋_GB2312" w:cs="仿宋_GB2312" w:eastAsia="仿宋_GB2312"/>
        </w:rPr>
        <w:t>6、近三年无重大违法、违纪书面声明：提供《近三年无重大违法、违纪书面声明》。</w:t>
      </w:r>
    </w:p>
    <w:p>
      <w:pPr>
        <w:pStyle w:val="null3"/>
      </w:pPr>
      <w:r>
        <w:rPr>
          <w:rFonts w:ascii="仿宋_GB2312" w:hAnsi="仿宋_GB2312" w:cs="仿宋_GB2312" w:eastAsia="仿宋_GB2312"/>
        </w:rPr>
        <w:t>7、信用记录：投标供应商未被列入“信用中国”网站记录的“失信被执行人”或“重大税收违法失信主体”名单 ；不处于“中国政府采购网”记录的“政府采购严重违法失信行为记录名单”中的禁止参加政府采购活动期间。（以采购人或采购代理机构开标当天查询结果为准）。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8、控股管理关系：提供直接控股和管理关系清单。若与其他投标人存在单位负责人为同一人或者存在直接控股、管理关系的，则投标无效。</w:t>
      </w:r>
    </w:p>
    <w:p>
      <w:pPr>
        <w:pStyle w:val="null3"/>
      </w:pPr>
      <w:r>
        <w:rPr>
          <w:rFonts w:ascii="仿宋_GB2312" w:hAnsi="仿宋_GB2312" w:cs="仿宋_GB2312" w:eastAsia="仿宋_GB2312"/>
        </w:rPr>
        <w:t>9、法定代表人授权委托书：法定代表人参加投标的，须提供本人身份证复印件（附在投标文件中）；法定代表人授权他人参加投标的，须提供法定代表人授权委托书。投标文件中凡是需要法定代表人盖章之处，非法人单位的负责人均参照执行。法人的分支机构参与投标时，除提供《法定代表人授权委托书》外，还须同时提供总公司给分支机构出具的授权书。</w:t>
      </w:r>
    </w:p>
    <w:p>
      <w:pPr>
        <w:pStyle w:val="null3"/>
      </w:pPr>
      <w:r>
        <w:rPr>
          <w:rFonts w:ascii="仿宋_GB2312" w:hAnsi="仿宋_GB2312" w:cs="仿宋_GB2312" w:eastAsia="仿宋_GB2312"/>
        </w:rPr>
        <w:t>10、本项目不接受联合体投标，不允许分包：投标供应商应提供《非联合体不分包投标声明》，视为独立投标，不分包。</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陕西省环境科学研究院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陕西省西安市碑林区长安北路49号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029-85365395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陕西德勤招标有限公司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陕西省西安市高新区丈八一路1号汇鑫中心D座2206室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贾旭鸣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029-81169855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采购包1：11,400,000.00元</w:t>
            </w:r>
          </w:p>
          <w:p>
            <w:pPr>
              <w:pStyle w:val="null3"/>
            </w:pPr>
            <w:r>
              <w:rPr>
                <w:rFonts w:ascii="仿宋_GB2312" w:hAnsi="仿宋_GB2312" w:cs="仿宋_GB2312" w:eastAsia="仿宋_GB2312"/>
              </w:rPr>
              <w:t>采购包2：600,000.00元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采购包1保证金金额：100,000.00元</w:t>
            </w:r>
          </w:p>
          <w:p>
            <w:pPr>
              <w:pStyle w:val="null3"/>
            </w:pPr>
            <w:r>
              <w:rPr>
                <w:rFonts w:ascii="仿宋_GB2312" w:hAnsi="仿宋_GB2312" w:cs="仿宋_GB2312" w:eastAsia="仿宋_GB2312"/>
              </w:rPr>
              <w:t>采购包2保证金金额：10,000.00元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开户名称：陕西德勤招标有限公司</w:t>
            </w:r>
          </w:p>
          <w:p>
            <w:pPr>
              <w:pStyle w:val="null3"/>
            </w:pPr>
            <w:r>
              <w:rPr>
                <w:rFonts w:ascii="仿宋_GB2312" w:hAnsi="仿宋_GB2312" w:cs="仿宋_GB2312" w:eastAsia="仿宋_GB2312"/>
              </w:rPr>
              <w:t>开户银行：光大银行西安丈八东路支行</w:t>
            </w:r>
          </w:p>
          <w:p>
            <w:pPr>
              <w:pStyle w:val="null3"/>
            </w:pPr>
            <w:r>
              <w:rPr>
                <w:rFonts w:ascii="仿宋_GB2312" w:hAnsi="仿宋_GB2312" w:cs="仿宋_GB2312" w:eastAsia="仿宋_GB2312"/>
              </w:rPr>
              <w:t>银行账号：52880188000135445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计划委制定的《招标代理服务收费管理暂行办法》（计价格[2002]1980号）及国家发展改革委办公厅制定的《关于招标代理服务收费有关问题的通知》（发改办价格[2003]857号）等相关规定收取费用。</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陕西省环境科学研究院</w:t>
      </w:r>
      <w:r>
        <w:rPr>
          <w:rFonts w:ascii="仿宋_GB2312" w:hAnsi="仿宋_GB2312" w:cs="仿宋_GB2312" w:eastAsia="仿宋_GB2312"/>
        </w:rPr>
        <w:t>和</w:t>
      </w:r>
      <w:r>
        <w:rPr>
          <w:rFonts w:ascii="仿宋_GB2312" w:hAnsi="仿宋_GB2312" w:cs="仿宋_GB2312" w:eastAsia="仿宋_GB2312"/>
        </w:rPr>
        <w:t>陕西德勤招标有限公司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陕西省环境科学研究院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陕西德勤招标有限公司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陕西省环境科学研究院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陕西德勤招标有限公司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联系人：贾旭鸣</w:t>
      </w:r>
    </w:p>
    <w:p>
      <w:pPr>
        <w:pStyle w:val="null3"/>
      </w:pPr>
      <w:r>
        <w:rPr>
          <w:rFonts w:ascii="仿宋_GB2312" w:hAnsi="仿宋_GB2312" w:cs="仿宋_GB2312" w:eastAsia="仿宋_GB2312"/>
        </w:rPr>
        <w:t>联系电话：029-81169855</w:t>
      </w:r>
    </w:p>
    <w:p>
      <w:pPr>
        <w:pStyle w:val="null3"/>
      </w:pPr>
      <w:r>
        <w:rPr>
          <w:rFonts w:ascii="仿宋_GB2312" w:hAnsi="仿宋_GB2312" w:cs="仿宋_GB2312" w:eastAsia="仿宋_GB2312"/>
        </w:rPr>
        <w:t>地址：陕西省西安市高新区丈八一路1号汇鑫中心D座2206室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地块污染调查以及物探结果等，编制以微生物技术、化学氧化/还原修复技术和常温热解吸技术为主要修复技术在内的修复方案，对煤化工企业地块进行修复示范，所有污染土壤修复达标后回填。按国家、现行有关标准、规范、规程等相关要求，开展修复示范项目的修复效果评估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11,400,000.00</w:t>
      </w:r>
    </w:p>
    <w:p>
      <w:pPr>
        <w:pStyle w:val="null3"/>
      </w:pPr>
      <w:r>
        <w:rPr>
          <w:rFonts w:ascii="仿宋_GB2312" w:hAnsi="仿宋_GB2312" w:cs="仿宋_GB2312" w:eastAsia="仿宋_GB2312"/>
        </w:rPr>
        <w:t>采购包最高限价（元）: 10,000,000.00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煤化工企业地块土壤修复技术应用示范</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煤化工企业地块土壤修复效果评估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标的名称：煤化工企业地块土壤修复技术应用示范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left"/>
            </w:pPr>
            <w:r>
              <w:rPr>
                <w:rFonts w:ascii="仿宋_GB2312" w:hAnsi="仿宋_GB2312" w:cs="仿宋_GB2312" w:eastAsia="仿宋_GB2312"/>
                <w:sz w:val="24"/>
                <w:b/>
                <w:color w:val="000000"/>
              </w:rPr>
              <w:t>一、</w:t>
            </w:r>
            <w:r>
              <w:rPr>
                <w:rFonts w:ascii="仿宋_GB2312" w:hAnsi="仿宋_GB2312" w:cs="仿宋_GB2312" w:eastAsia="仿宋_GB2312"/>
                <w:sz w:val="24"/>
                <w:b/>
                <w:color w:val="000000"/>
              </w:rPr>
              <w:t>采购内容</w:t>
            </w:r>
          </w:p>
          <w:p>
            <w:pPr>
              <w:pStyle w:val="null3"/>
              <w:ind w:firstLine="480"/>
              <w:jc w:val="left"/>
            </w:pPr>
            <w:r>
              <w:rPr>
                <w:rFonts w:ascii="仿宋_GB2312" w:hAnsi="仿宋_GB2312" w:cs="仿宋_GB2312" w:eastAsia="仿宋_GB2312"/>
                <w:sz w:val="24"/>
                <w:color w:val="000000"/>
              </w:rPr>
              <w:t>1.编制修复方案</w:t>
            </w:r>
          </w:p>
          <w:p>
            <w:pPr>
              <w:pStyle w:val="null3"/>
              <w:ind w:firstLine="480"/>
              <w:jc w:val="left"/>
            </w:pPr>
            <w:r>
              <w:rPr>
                <w:rFonts w:ascii="仿宋_GB2312" w:hAnsi="仿宋_GB2312" w:cs="仿宋_GB2312" w:eastAsia="仿宋_GB2312"/>
                <w:sz w:val="24"/>
                <w:color w:val="000000"/>
              </w:rPr>
              <w:t>采用物探技术对地块进行勘察，形成物探勘察报告。依据污染调查评估结果、物探勘察报告及地块实际情况编制修复方案。</w:t>
            </w:r>
          </w:p>
          <w:p>
            <w:pPr>
              <w:pStyle w:val="null3"/>
              <w:ind w:firstLine="480"/>
              <w:jc w:val="left"/>
            </w:pPr>
            <w:r>
              <w:rPr>
                <w:rFonts w:ascii="仿宋_GB2312" w:hAnsi="仿宋_GB2312" w:cs="仿宋_GB2312" w:eastAsia="仿宋_GB2312"/>
                <w:sz w:val="24"/>
                <w:color w:val="000000"/>
              </w:rPr>
              <w:t>2.开展煤化工企业地块土壤修复技术应用示范</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根据修复方案，开展现场修复工作，</w:t>
            </w:r>
            <w:r>
              <w:rPr>
                <w:rFonts w:ascii="仿宋_GB2312" w:hAnsi="仿宋_GB2312" w:cs="仿宋_GB2312" w:eastAsia="仿宋_GB2312"/>
                <w:sz w:val="24"/>
                <w:color w:val="000000"/>
              </w:rPr>
              <w:t>示范项目修复土方量约</w:t>
            </w:r>
            <w:r>
              <w:rPr>
                <w:rFonts w:ascii="仿宋_GB2312" w:hAnsi="仿宋_GB2312" w:cs="仿宋_GB2312" w:eastAsia="仿宋_GB2312"/>
                <w:sz w:val="24"/>
                <w:color w:val="000000"/>
              </w:rPr>
              <w:t>1.3万m</w:t>
            </w:r>
            <w:r>
              <w:rPr>
                <w:rFonts w:ascii="仿宋_GB2312" w:hAnsi="仿宋_GB2312" w:cs="仿宋_GB2312" w:eastAsia="仿宋_GB2312"/>
                <w:sz w:val="24"/>
                <w:color w:val="000000"/>
                <w:vertAlign w:val="superscript"/>
              </w:rPr>
              <w:t>3</w:t>
            </w:r>
            <w:r>
              <w:rPr>
                <w:rFonts w:ascii="仿宋_GB2312" w:hAnsi="仿宋_GB2312" w:cs="仿宋_GB2312" w:eastAsia="仿宋_GB2312"/>
                <w:sz w:val="24"/>
                <w:color w:val="000000"/>
              </w:rPr>
              <w:t>，其中约</w:t>
            </w:r>
            <w:r>
              <w:rPr>
                <w:rFonts w:ascii="仿宋_GB2312" w:hAnsi="仿宋_GB2312" w:cs="仿宋_GB2312" w:eastAsia="仿宋_GB2312"/>
                <w:sz w:val="24"/>
                <w:color w:val="000000"/>
              </w:rPr>
              <w:t>0.6万m</w:t>
            </w:r>
            <w:r>
              <w:rPr>
                <w:rFonts w:ascii="仿宋_GB2312" w:hAnsi="仿宋_GB2312" w:cs="仿宋_GB2312" w:eastAsia="仿宋_GB2312"/>
                <w:sz w:val="24"/>
                <w:color w:val="000000"/>
                <w:vertAlign w:val="superscript"/>
              </w:rPr>
              <w:t>3</w:t>
            </w:r>
            <w:r>
              <w:rPr>
                <w:rFonts w:ascii="仿宋_GB2312" w:hAnsi="仿宋_GB2312" w:cs="仿宋_GB2312" w:eastAsia="仿宋_GB2312"/>
                <w:sz w:val="24"/>
                <w:color w:val="000000"/>
              </w:rPr>
              <w:t>污染土壤根据污染程度和深度分别采用微生物修复技术和化学氧化修复技术，约</w:t>
            </w:r>
            <w:r>
              <w:rPr>
                <w:rFonts w:ascii="仿宋_GB2312" w:hAnsi="仿宋_GB2312" w:cs="仿宋_GB2312" w:eastAsia="仿宋_GB2312"/>
                <w:sz w:val="24"/>
                <w:color w:val="000000"/>
              </w:rPr>
              <w:t>0.3万m</w:t>
            </w:r>
            <w:r>
              <w:rPr>
                <w:rFonts w:ascii="仿宋_GB2312" w:hAnsi="仿宋_GB2312" w:cs="仿宋_GB2312" w:eastAsia="仿宋_GB2312"/>
                <w:sz w:val="24"/>
                <w:color w:val="000000"/>
                <w:vertAlign w:val="superscript"/>
              </w:rPr>
              <w:t>3</w:t>
            </w:r>
            <w:r>
              <w:rPr>
                <w:rFonts w:ascii="仿宋_GB2312" w:hAnsi="仿宋_GB2312" w:cs="仿宋_GB2312" w:eastAsia="仿宋_GB2312"/>
                <w:sz w:val="24"/>
                <w:color w:val="000000"/>
              </w:rPr>
              <w:t>污染土壤采用常温热解吸修复技术，约</w:t>
            </w:r>
            <w:r>
              <w:rPr>
                <w:rFonts w:ascii="仿宋_GB2312" w:hAnsi="仿宋_GB2312" w:cs="仿宋_GB2312" w:eastAsia="仿宋_GB2312"/>
                <w:sz w:val="24"/>
                <w:color w:val="000000"/>
              </w:rPr>
              <w:t>0.4万m</w:t>
            </w:r>
            <w:r>
              <w:rPr>
                <w:rFonts w:ascii="仿宋_GB2312" w:hAnsi="仿宋_GB2312" w:cs="仿宋_GB2312" w:eastAsia="仿宋_GB2312"/>
                <w:sz w:val="24"/>
                <w:color w:val="000000"/>
                <w:vertAlign w:val="superscript"/>
              </w:rPr>
              <w:t>3</w:t>
            </w:r>
            <w:r>
              <w:rPr>
                <w:rFonts w:ascii="仿宋_GB2312" w:hAnsi="仿宋_GB2312" w:cs="仿宋_GB2312" w:eastAsia="仿宋_GB2312"/>
                <w:sz w:val="24"/>
                <w:color w:val="000000"/>
              </w:rPr>
              <w:t>污染土壤采用化学还原修复技术</w:t>
            </w:r>
            <w:r>
              <w:rPr>
                <w:rFonts w:ascii="仿宋_GB2312" w:hAnsi="仿宋_GB2312" w:cs="仿宋_GB2312" w:eastAsia="仿宋_GB2312"/>
                <w:sz w:val="24"/>
                <w:color w:val="000000"/>
              </w:rPr>
              <w:t>，修复后土壤目标污染物达到修复目标值，并通过效果评估和项目验收。</w:t>
            </w:r>
          </w:p>
          <w:p>
            <w:pPr>
              <w:pStyle w:val="null3"/>
              <w:ind w:firstLine="480"/>
              <w:jc w:val="left"/>
            </w:pPr>
            <w:r>
              <w:rPr>
                <w:rFonts w:ascii="仿宋_GB2312" w:hAnsi="仿宋_GB2312" w:cs="仿宋_GB2312" w:eastAsia="仿宋_GB2312"/>
                <w:sz w:val="24"/>
                <w:color w:val="000000"/>
              </w:rPr>
              <w:t>3.编写可复制推广的煤化工企业地块绿色和高效修复技术方案</w:t>
            </w:r>
          </w:p>
          <w:p>
            <w:pPr>
              <w:pStyle w:val="null3"/>
              <w:ind w:firstLine="480"/>
              <w:jc w:val="left"/>
            </w:pPr>
            <w:r>
              <w:rPr>
                <w:rFonts w:ascii="仿宋_GB2312" w:hAnsi="仿宋_GB2312" w:cs="仿宋_GB2312" w:eastAsia="仿宋_GB2312"/>
                <w:sz w:val="24"/>
                <w:color w:val="000000"/>
              </w:rPr>
              <w:t>基于煤化工企业地块修复示范过程中修复技术和效能评估方法的验证，编写可复制推广的煤化工企业地块绿色和高效修复技术方案，为煤化工企业地块修复提供技术支撑。</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82"/>
              <w:jc w:val="both"/>
            </w:pPr>
            <w:r>
              <w:rPr>
                <w:rFonts w:ascii="仿宋_GB2312" w:hAnsi="仿宋_GB2312" w:cs="仿宋_GB2312" w:eastAsia="仿宋_GB2312"/>
                <w:sz w:val="24"/>
                <w:b/>
                <w:color w:val="000000"/>
              </w:rPr>
              <w:t>二、</w:t>
            </w:r>
            <w:r>
              <w:rPr>
                <w:rFonts w:ascii="仿宋_GB2312" w:hAnsi="仿宋_GB2312" w:cs="仿宋_GB2312" w:eastAsia="仿宋_GB2312"/>
                <w:sz w:val="24"/>
                <w:b/>
                <w:color w:val="000000"/>
              </w:rPr>
              <w:t>技术要求</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.修复技术要求：中标人应充分考虑场地污染现状、场地开发规划、修复成本等因素，确保污染场地的修复效果满足土地利用方式的要求，避免二次污染，全面保护人体健康与环境。</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.应用示范要求：中标人在示范工程过程中应严格按照有关技术标准与规范等开展工作，确保项目实施后获得的有关数据资料真实、有效，顺利完成煤化工企业地块土壤修复现场施工和运行工作。</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482"/>
              <w:jc w:val="left"/>
            </w:pPr>
            <w:r>
              <w:rPr>
                <w:rFonts w:ascii="仿宋_GB2312" w:hAnsi="仿宋_GB2312" w:cs="仿宋_GB2312" w:eastAsia="仿宋_GB2312"/>
                <w:sz w:val="24"/>
                <w:b/>
                <w:color w:val="000000"/>
              </w:rPr>
              <w:t>三、</w:t>
            </w:r>
            <w:r>
              <w:rPr>
                <w:rFonts w:ascii="仿宋_GB2312" w:hAnsi="仿宋_GB2312" w:cs="仿宋_GB2312" w:eastAsia="仿宋_GB2312"/>
                <w:sz w:val="24"/>
                <w:b/>
                <w:color w:val="000000"/>
              </w:rPr>
              <w:t>保密要求</w:t>
            </w:r>
          </w:p>
          <w:p>
            <w:pPr>
              <w:pStyle w:val="null3"/>
              <w:ind w:firstLine="482"/>
              <w:jc w:val="left"/>
            </w:pPr>
            <w:r>
              <w:rPr>
                <w:rFonts w:ascii="仿宋_GB2312" w:hAnsi="仿宋_GB2312" w:cs="仿宋_GB2312" w:eastAsia="仿宋_GB2312"/>
                <w:sz w:val="24"/>
                <w:color w:val="000000"/>
              </w:rPr>
              <w:t>受委托的中标人及其工作人员对其在项目实施过程中所知悉的国家秘密、商业秘密和技术秘密负有保密义务，并制订实施相应的保密规定，落实保密责任。由采购人收集的、开发的、整理的、复制的、研究的和准备的与本项目工作有关的所有资料在提供给中标人时，均被视为保密的，不得泄露给除采购人或指定的代表之外的任何人、企业或公司，不管本项目因何种原因终止，本保密条款一直约束中标人；中标人在履行合同过程中所获得或接触到的任何内部数据资料，未经采购人同意，不得向第三方透露；中标人实施项目的一切程序都应符合国家安全、保密的有关规定和招标文件、中标人</w:t>
            </w:r>
            <w:r>
              <w:rPr>
                <w:rFonts w:ascii="仿宋_GB2312" w:hAnsi="仿宋_GB2312" w:cs="仿宋_GB2312" w:eastAsia="仿宋_GB2312"/>
                <w:sz w:val="24"/>
                <w:color w:val="000000"/>
              </w:rPr>
              <w:t>投标</w:t>
            </w:r>
            <w:r>
              <w:rPr>
                <w:rFonts w:ascii="仿宋_GB2312" w:hAnsi="仿宋_GB2312" w:cs="仿宋_GB2312" w:eastAsia="仿宋_GB2312"/>
                <w:sz w:val="24"/>
                <w:color w:val="000000"/>
              </w:rPr>
              <w:t>文件、国家和行业有关规范、规程和标准。项目完成后，中标人须把采购人提供的所有资料、数据完整归还采购人，并不得留存任何复制品。</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firstLine="482"/>
              <w:jc w:val="left"/>
            </w:pPr>
            <w:r>
              <w:rPr>
                <w:rFonts w:ascii="仿宋_GB2312" w:hAnsi="仿宋_GB2312" w:cs="仿宋_GB2312" w:eastAsia="仿宋_GB2312"/>
                <w:sz w:val="24"/>
                <w:b/>
                <w:color w:val="000000"/>
              </w:rPr>
              <w:t>四、</w:t>
            </w:r>
            <w:r>
              <w:rPr>
                <w:rFonts w:ascii="仿宋_GB2312" w:hAnsi="仿宋_GB2312" w:cs="仿宋_GB2312" w:eastAsia="仿宋_GB2312"/>
                <w:sz w:val="24"/>
                <w:b/>
                <w:color w:val="000000"/>
              </w:rPr>
              <w:t>报价要求</w:t>
            </w:r>
          </w:p>
          <w:p>
            <w:pPr>
              <w:pStyle w:val="null3"/>
              <w:ind w:firstLine="482"/>
              <w:jc w:val="left"/>
            </w:pPr>
            <w:r>
              <w:rPr>
                <w:rFonts w:ascii="仿宋_GB2312" w:hAnsi="仿宋_GB2312" w:cs="仿宋_GB2312" w:eastAsia="仿宋_GB2312"/>
                <w:sz w:val="24"/>
                <w:color w:val="000000"/>
              </w:rPr>
              <w:t>合同总价一次性包死，不受市场价格变化</w:t>
            </w:r>
            <w:r>
              <w:rPr>
                <w:rFonts w:ascii="仿宋_GB2312" w:hAnsi="仿宋_GB2312" w:cs="仿宋_GB2312" w:eastAsia="仿宋_GB2312"/>
                <w:sz w:val="24"/>
                <w:color w:val="000000"/>
              </w:rPr>
              <w:t>、任务量</w:t>
            </w:r>
            <w:r>
              <w:rPr>
                <w:rFonts w:ascii="仿宋_GB2312" w:hAnsi="仿宋_GB2312" w:cs="仿宋_GB2312" w:eastAsia="仿宋_GB2312"/>
                <w:sz w:val="24"/>
                <w:color w:val="000000"/>
              </w:rPr>
              <w:t>临时</w:t>
            </w:r>
            <w:r>
              <w:rPr>
                <w:rFonts w:ascii="仿宋_GB2312" w:hAnsi="仿宋_GB2312" w:cs="仿宋_GB2312" w:eastAsia="仿宋_GB2312"/>
                <w:sz w:val="24"/>
                <w:color w:val="000000"/>
              </w:rPr>
              <w:t>增加</w:t>
            </w:r>
            <w:r>
              <w:rPr>
                <w:rFonts w:ascii="仿宋_GB2312" w:hAnsi="仿宋_GB2312" w:cs="仿宋_GB2312" w:eastAsia="仿宋_GB2312"/>
                <w:sz w:val="24"/>
                <w:color w:val="000000"/>
              </w:rPr>
              <w:t>等不确定</w:t>
            </w:r>
            <w:r>
              <w:rPr>
                <w:rFonts w:ascii="仿宋_GB2312" w:hAnsi="仿宋_GB2312" w:cs="仿宋_GB2312" w:eastAsia="仿宋_GB2312"/>
                <w:sz w:val="24"/>
                <w:color w:val="000000"/>
              </w:rPr>
              <w:t>因素的影响。除本合同总金额外，采购人不再支付任何其他费用。</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标的名称：煤化工企业地块土壤修复效果评估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left"/>
            </w:pPr>
            <w:r>
              <w:rPr>
                <w:rFonts w:ascii="仿宋_GB2312" w:hAnsi="仿宋_GB2312" w:cs="仿宋_GB2312" w:eastAsia="仿宋_GB2312"/>
                <w:sz w:val="24"/>
                <w:b/>
                <w:color w:val="000000"/>
              </w:rPr>
              <w:t>一、</w:t>
            </w:r>
            <w:r>
              <w:rPr>
                <w:rFonts w:ascii="仿宋_GB2312" w:hAnsi="仿宋_GB2312" w:cs="仿宋_GB2312" w:eastAsia="仿宋_GB2312"/>
                <w:sz w:val="24"/>
                <w:b/>
                <w:color w:val="000000"/>
              </w:rPr>
              <w:t>采购内容</w:t>
            </w:r>
          </w:p>
          <w:p>
            <w:pPr>
              <w:pStyle w:val="null3"/>
              <w:ind w:firstLine="480"/>
              <w:jc w:val="left"/>
            </w:pPr>
            <w:r>
              <w:rPr>
                <w:rFonts w:ascii="仿宋_GB2312" w:hAnsi="仿宋_GB2312" w:cs="仿宋_GB2312" w:eastAsia="仿宋_GB2312"/>
                <w:sz w:val="24"/>
                <w:color w:val="000000"/>
              </w:rPr>
              <w:t>按国家、现行有关标准、规范、规程和</w:t>
            </w:r>
            <w:r>
              <w:rPr>
                <w:rFonts w:ascii="仿宋_GB2312" w:hAnsi="仿宋_GB2312" w:cs="仿宋_GB2312" w:eastAsia="仿宋_GB2312"/>
                <w:sz w:val="24"/>
                <w:color w:val="000000"/>
              </w:rPr>
              <w:t>采购人</w:t>
            </w:r>
            <w:r>
              <w:rPr>
                <w:rFonts w:ascii="仿宋_GB2312" w:hAnsi="仿宋_GB2312" w:cs="仿宋_GB2312" w:eastAsia="仿宋_GB2312"/>
                <w:sz w:val="24"/>
                <w:color w:val="000000"/>
              </w:rPr>
              <w:t>的相关要求，包括但不限于按照国家及地方环保法律法规、技术规范开展本项目的修复效果评估工作、编制修复效果评估工作方案、提供技术咨询、修复效果评估报告、统筹配合项目验收等工作。具体工作内容包括但不限于：</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1）负责编写修复效果评估工作方案、项目修复效果现场采样、检测分析、修复效果评估、报告编制等各项工作。</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2）根据国家、省、市生态环境等部门的有关要求，对修复应用示范项目实施情况、二次污染控制情况、环保/监测措施落实情况、修复范围与工作量核定、现场遗留污染识别及处理等，进行达标验收。</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根据《污染地块风险管控与土壤修复效果评估技术导则》(试行)(HJ25.5-2018)、《建设用地土壤污染风险管控和修复监测技术导则》(HJ25.2-2019)等相关规定进行全过程现场采样、记录、质控及实验室分析测试，并保存完整的资料，及时出具质量合格的检测报告，并对其负责。</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4）结合修复应用示范项目的完成情况，在符合效果评估工作方案要求后收集项目验收材料，编制修复效果评估报告，并通过专家评审。</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82"/>
              <w:jc w:val="left"/>
            </w:pPr>
            <w:r>
              <w:rPr>
                <w:rFonts w:ascii="仿宋_GB2312" w:hAnsi="仿宋_GB2312" w:cs="仿宋_GB2312" w:eastAsia="仿宋_GB2312"/>
                <w:sz w:val="24"/>
                <w:b/>
                <w:color w:val="000000"/>
              </w:rPr>
              <w:t>二、</w:t>
            </w:r>
            <w:r>
              <w:rPr>
                <w:rFonts w:ascii="仿宋_GB2312" w:hAnsi="仿宋_GB2312" w:cs="仿宋_GB2312" w:eastAsia="仿宋_GB2312"/>
                <w:sz w:val="24"/>
                <w:b/>
                <w:color w:val="000000"/>
              </w:rPr>
              <w:t>保密要求</w:t>
            </w:r>
          </w:p>
          <w:p>
            <w:pPr>
              <w:pStyle w:val="null3"/>
              <w:ind w:firstLine="482"/>
              <w:jc w:val="left"/>
            </w:pPr>
            <w:r>
              <w:rPr>
                <w:rFonts w:ascii="仿宋_GB2312" w:hAnsi="仿宋_GB2312" w:cs="仿宋_GB2312" w:eastAsia="仿宋_GB2312"/>
                <w:sz w:val="24"/>
                <w:color w:val="000000"/>
              </w:rPr>
              <w:t>由采购人收集的、开发的、整理的、复制的、研究的和准备的与本项目工作有关的所有资料在提供给中标人时，不得泄露给除采购人或指定的代表之外的任何人、企业或公司，不管本项目因何种原因终止，本保密条款一直约束中标人；中标人在履行合同过程中所获得或接触到的任何内部数据资料，未经采购人同意，不得向第三方透露；中标人实施项目的一切程序都应符合国家安全、保密的有关规定和招标文件、中标人投标文件、国家和行业有关规范、规程和标准。</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482"/>
              <w:jc w:val="left"/>
            </w:pPr>
            <w:r>
              <w:rPr>
                <w:rFonts w:ascii="仿宋_GB2312" w:hAnsi="仿宋_GB2312" w:cs="仿宋_GB2312" w:eastAsia="仿宋_GB2312"/>
                <w:sz w:val="24"/>
                <w:b/>
                <w:color w:val="000000"/>
              </w:rPr>
              <w:t>三、</w:t>
            </w:r>
            <w:r>
              <w:rPr>
                <w:rFonts w:ascii="仿宋_GB2312" w:hAnsi="仿宋_GB2312" w:cs="仿宋_GB2312" w:eastAsia="仿宋_GB2312"/>
                <w:sz w:val="24"/>
                <w:b/>
                <w:color w:val="000000"/>
              </w:rPr>
              <w:t>报价要求</w:t>
            </w:r>
          </w:p>
          <w:p>
            <w:pPr>
              <w:pStyle w:val="null3"/>
              <w:ind w:firstLine="482"/>
              <w:jc w:val="left"/>
            </w:pPr>
            <w:r>
              <w:rPr>
                <w:rFonts w:ascii="仿宋_GB2312" w:hAnsi="仿宋_GB2312" w:cs="仿宋_GB2312" w:eastAsia="仿宋_GB2312"/>
                <w:sz w:val="24"/>
                <w:color w:val="000000"/>
              </w:rPr>
              <w:t>合同总价一次性包死，不受市场价格变化</w:t>
            </w:r>
            <w:r>
              <w:rPr>
                <w:rFonts w:ascii="仿宋_GB2312" w:hAnsi="仿宋_GB2312" w:cs="仿宋_GB2312" w:eastAsia="仿宋_GB2312"/>
                <w:sz w:val="24"/>
                <w:color w:val="000000"/>
              </w:rPr>
              <w:t>、任务量</w:t>
            </w:r>
            <w:r>
              <w:rPr>
                <w:rFonts w:ascii="仿宋_GB2312" w:hAnsi="仿宋_GB2312" w:cs="仿宋_GB2312" w:eastAsia="仿宋_GB2312"/>
                <w:sz w:val="24"/>
                <w:color w:val="000000"/>
              </w:rPr>
              <w:t>临时</w:t>
            </w:r>
            <w:r>
              <w:rPr>
                <w:rFonts w:ascii="仿宋_GB2312" w:hAnsi="仿宋_GB2312" w:cs="仿宋_GB2312" w:eastAsia="仿宋_GB2312"/>
                <w:sz w:val="24"/>
                <w:color w:val="000000"/>
              </w:rPr>
              <w:t>增加</w:t>
            </w:r>
            <w:r>
              <w:rPr>
                <w:rFonts w:ascii="仿宋_GB2312" w:hAnsi="仿宋_GB2312" w:cs="仿宋_GB2312" w:eastAsia="仿宋_GB2312"/>
                <w:sz w:val="24"/>
                <w:color w:val="000000"/>
              </w:rPr>
              <w:t>等不确定</w:t>
            </w:r>
            <w:r>
              <w:rPr>
                <w:rFonts w:ascii="仿宋_GB2312" w:hAnsi="仿宋_GB2312" w:cs="仿宋_GB2312" w:eastAsia="仿宋_GB2312"/>
                <w:sz w:val="24"/>
                <w:color w:val="000000"/>
              </w:rPr>
              <w:t>因素的影响。除本合同总金额外，采购人不再支付任何其他费用。</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针对本项目提供明确的项目团队人员，要求人员为投标人在职人员。</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针对本项目提供明确的项目团队人员，要求人员为投标人在职人员。</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提供履行本合同所必需的设施设备。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提供履行本合同所必需的设施设备。</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2025年12月30日之前完成。</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2025年12月30日之前完成。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陕西省内</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污染地块中污染物种类、污染治理与修复量应以现场实际治理与修复需求为准，以达到修复效果并通过验收为最终目标。采购人收到验收申请后进行验收，验收时中标人应无条件予以配合并提供验收所需的全部资料，若中标人不配合或者未按合同要求提供服务的，采购人将拒绝验收。 2.验收依据：招标文件、中标人投标文件、合同文本、国内相应的标准及规范。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1.采购人收到验收申请后进行验收，验收时中标人应无条件予以配合并提供验收所需的全部资料，若中标人不配合或者未按合同要求提供服务的，采购人将拒绝验收。 2.编制修复效果评估报告，并通过专家评审。 3.验收依据：招标文件、中标人投标文件、合同文本、国内相应的标准及规范。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中标人完成工作量的70%后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中标人完成全部工作后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中标人完成工作量的70%后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中标人完成全部工作后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1.纸质文件要求 （1）供应商需要在线提交所有通过电子化交易平台实施的政府采购项目的投标文件，同时，线下提交纸质投标文件正本壹份、副本贰份。若电子投标文件与纸质投标文件不一致的，以电子投标文件为准。 （2）投标文件，正、副本分别各自装订成册密封。在封口处加盖供应商公章。 （3）线下投标文件递交截止时间与线上开评标时间一致。 （4）纸质投标文件可邮寄递交，应于递交投标文件截止时间前邮寄到西安市高新区丈八一路1号汇鑫中心D座2206室（陕西德勤招标有限公司）。 2、投标保证金注意事项：（1）投标保证金须从投标供应商户名支付，如从个人户名或非投标供应商户名支付，将被拒绝，视为自动放弃投标权利（该个人是投标供应商的情形除外）；以保函形式交纳投标保证金的，投标供应商应在投标截止时间前将保函扫描成清晰的PDF文件，发送至邮箱deqinjxm@126.com（邮件命名：项目编号）；投标供应商应在投标文件中附保函扫描件。保函必须由具有开具投标保函资格的单位开具；若中标人违约，开具保函单位承担连带责任；（2）投标保证金的提交金额、时间不满足招标文件要求的，投标无效；（3）未按指定账户提交的，我公司将退回，投标供应商须在文件递交截止时间前按照指定账户再次提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投标文件截止时间不足一年的可提供成立后任意时段的资产负债表），或其开标前三个月内基本开户银行出具的资信证明（以上两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投标文件截止时间不足一年的可提供成立后任意时段的资产负债表），或其开标前三个月内基本开户银行出具的资信证明（以上两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提供有效存续的企业营业执照（副本）/事业单位法人证书/专业服务机构执业许可证/民办非企业单位登记证书等主体资格证明文件，自然人投标提供其身份证明文件。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投标文件截止时间不足一年的可提供成立后任意时段的资产负债表），或其递交投标文件截止之日前三个月内基本开户银行出具的资信证明(以上两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w:t>
            </w:r>
          </w:p>
        </w:tc>
        <w:tc>
          <w:tcPr>
            <w:tcW w:type="dxa" w:w="1661"/>
          </w:tcPr>
          <w:p>
            <w:pPr>
              <w:pStyle w:val="null3"/>
            </w:pPr>
            <w:r>
              <w:rPr>
                <w:rFonts w:ascii="仿宋_GB2312" w:hAnsi="仿宋_GB2312" w:cs="仿宋_GB2312" w:eastAsia="仿宋_GB2312"/>
              </w:rPr>
              <w:t>书面声明</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提供递交投标文件截止之日前一年内任意一个月的社会保障资金缴存单据或社保机构开具的社会保险参保缴费情况证明。依法不需要缴纳社会保障资金的投标供应商应提供相关证明文件。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供应商，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近三年无重大违法、违纪书面声明</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投标供应商未被列入“信用中国”网站记录的“失信被执行人”或“重大税收违法失信主体”名单 ；不处于“中国政府采购网”记录的“政府采购严重违法失信行为记录名单”中的禁止参加政府采购活动期间。（以采购人或采购代理机构开标当天查询结果为准）。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控股管理关系</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本人身份证复印件（附在投标文件中）；法定代表人授权他人参加投标的，须提供法定代表人授权委托书。投标文件中凡是需要法定代表人盖章之处，非法人单位的负责人均参照执行。法人的分支机构参与投标时，除提供《法定代表人授权委托书》外，还须同时提供总公司给分支机构出具的授权书。</w:t>
            </w:r>
          </w:p>
        </w:tc>
        <w:tc>
          <w:tcPr>
            <w:tcW w:type="dxa" w:w="1661"/>
          </w:tcPr>
          <w:p>
            <w:pPr>
              <w:pStyle w:val="null3"/>
            </w:pPr>
            <w:r>
              <w:rPr>
                <w:rFonts w:ascii="仿宋_GB2312" w:hAnsi="仿宋_GB2312" w:cs="仿宋_GB2312" w:eastAsia="仿宋_GB2312"/>
              </w:rPr>
              <w:t>法定代表人授权书</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投标供应商应提供《非联合体不分包投标声明》，视为独立投标，不分包。</w:t>
            </w:r>
          </w:p>
        </w:tc>
        <w:tc>
          <w:tcPr>
            <w:tcW w:type="dxa" w:w="1661"/>
          </w:tcPr>
          <w:p>
            <w:pPr>
              <w:pStyle w:val="null3"/>
            </w:pPr>
            <w:r>
              <w:rPr>
                <w:rFonts w:ascii="仿宋_GB2312" w:hAnsi="仿宋_GB2312" w:cs="仿宋_GB2312" w:eastAsia="仿宋_GB2312"/>
              </w:rPr>
              <w:t>非联合体不分包投标声明</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提供有效存续的企业营业执照（副本）/事业单位法人证书/专业服务机构执业许可证/民办非企业单位登记证书等主体资格证明文件，自然人投标提供其身份证明文件。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投标文件截止时间不足一年的可提供成立后任意时段的资产负债表），或其递交投标文件截止之日前三个月内基本开户银行出具的资信证明(以上两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w:t>
            </w:r>
          </w:p>
        </w:tc>
        <w:tc>
          <w:tcPr>
            <w:tcW w:type="dxa" w:w="1661"/>
          </w:tcPr>
          <w:p>
            <w:pPr>
              <w:pStyle w:val="null3"/>
            </w:pPr>
            <w:r>
              <w:rPr>
                <w:rFonts w:ascii="仿宋_GB2312" w:hAnsi="仿宋_GB2312" w:cs="仿宋_GB2312" w:eastAsia="仿宋_GB2312"/>
              </w:rPr>
              <w:t>书面声明</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提供递交投标文件截止之日前一年内任意一个月的社会保障资金缴存单据或社保机构开具的社会保险参保缴费情况证明。依法不需要缴纳社会保障资金的投标供应商应提供相关证明文件。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供应商，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近三年无重大违法、违纪书面声明</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投标供应商未被列入“信用中国”网站记录的“失信被执行人”或“重大税收违法失信主体”名单 ；不处于“中国政府采购网”记录的“政府采购严重违法失信行为记录名单”中的禁止参加政府采购活动期间。（以采购人或采购代理机构开标当天查询结果为准）。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控股管理关系</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本人身份证复印件（附在投标文件中）；法定代表人授权他人参加投标的，须提供法定代表人授权委托书。投标文件中凡是需要法定代表人盖章之处，非法人单位的负责人均参照执行。法人的分支机构参与投标时，除提供《法定代表人授权委托书》外，还须同时提供总公司给分支机构出具的授权书。</w:t>
            </w:r>
          </w:p>
        </w:tc>
        <w:tc>
          <w:tcPr>
            <w:tcW w:type="dxa" w:w="1661"/>
          </w:tcPr>
          <w:p>
            <w:pPr>
              <w:pStyle w:val="null3"/>
            </w:pPr>
            <w:r>
              <w:rPr>
                <w:rFonts w:ascii="仿宋_GB2312" w:hAnsi="仿宋_GB2312" w:cs="仿宋_GB2312" w:eastAsia="仿宋_GB2312"/>
              </w:rPr>
              <w:t>法定代表人授权书</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投标供应商应提供《非联合体不分包投标声明》，视为独立投标，不分包。</w:t>
            </w:r>
          </w:p>
        </w:tc>
        <w:tc>
          <w:tcPr>
            <w:tcW w:type="dxa" w:w="1661"/>
          </w:tcPr>
          <w:p>
            <w:pPr>
              <w:pStyle w:val="null3"/>
            </w:pPr>
            <w:r>
              <w:rPr>
                <w:rFonts w:ascii="仿宋_GB2312" w:hAnsi="仿宋_GB2312" w:cs="仿宋_GB2312" w:eastAsia="仿宋_GB2312"/>
              </w:rPr>
              <w:t>非联合体不分包投标声明</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均按招标文件要求签字、盖章（评分标准中要求提供的证明材料除外）。</w:t>
            </w:r>
          </w:p>
        </w:tc>
        <w:tc>
          <w:tcPr>
            <w:tcW w:type="dxa" w:w="1661"/>
          </w:tcPr>
          <w:p>
            <w:pPr>
              <w:pStyle w:val="null3"/>
            </w:pPr>
            <w:r>
              <w:rPr>
                <w:rFonts w:ascii="仿宋_GB2312" w:hAnsi="仿宋_GB2312" w:cs="仿宋_GB2312" w:eastAsia="仿宋_GB2312"/>
              </w:rPr>
              <w:t>开标一览表 服务内容及服务邀请应答表 保证金汇款声明函 中小企业声明函 商务应答表 控股管理关系 法定代表人授权书 投标人应提交的相关资格证明材料 近三年无重大违法、违纪书面声明 投标函 残疾人福利性单位声明函 服务方案 标的清单 非联合体不分包投标声明 投标文件封面 书面声明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开标一览表</w:t>
            </w:r>
          </w:p>
        </w:tc>
        <w:tc>
          <w:tcPr>
            <w:tcW w:type="dxa" w:w="3322"/>
          </w:tcPr>
          <w:p>
            <w:pPr>
              <w:pStyle w:val="null3"/>
            </w:pPr>
            <w:r>
              <w:rPr>
                <w:rFonts w:ascii="仿宋_GB2312" w:hAnsi="仿宋_GB2312" w:cs="仿宋_GB2312" w:eastAsia="仿宋_GB2312"/>
              </w:rPr>
              <w:t>（1）投标报价符合唯一性要求； （2）开标一览表填写符合要求； （3）计量单位、报价货币均符合招标文件要求； （4）未超出采购预算或招标文件规定的最高限价。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完全理解接受招标文件商务条款。</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保证金汇款声明函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无其他招标文件或法规明确规定响应无效的事项</w:t>
            </w:r>
          </w:p>
        </w:tc>
        <w:tc>
          <w:tcPr>
            <w:tcW w:type="dxa" w:w="3322"/>
          </w:tcPr>
          <w:p>
            <w:pPr>
              <w:pStyle w:val="null3"/>
            </w:pPr>
            <w:r>
              <w:rPr>
                <w:rFonts w:ascii="仿宋_GB2312" w:hAnsi="仿宋_GB2312" w:cs="仿宋_GB2312" w:eastAsia="仿宋_GB2312"/>
              </w:rPr>
              <w:t>没有不符合招标文件规定的被视为无效响应的其他条款。</w:t>
            </w:r>
          </w:p>
        </w:tc>
        <w:tc>
          <w:tcPr>
            <w:tcW w:type="dxa" w:w="1661"/>
          </w:tcPr>
          <w:p>
            <w:pPr>
              <w:pStyle w:val="null3"/>
            </w:pPr>
            <w:r>
              <w:rPr>
                <w:rFonts w:ascii="仿宋_GB2312" w:hAnsi="仿宋_GB2312" w:cs="仿宋_GB2312" w:eastAsia="仿宋_GB2312"/>
              </w:rPr>
              <w:t>开标一览表 服务内容及服务邀请应答表 保证金汇款声明函 中小企业声明函 商务应答表 控股管理关系 法定代表人授权书 投标人应提交的相关资格证明材料 近三年无重大违法、违纪书面声明 投标函 残疾人福利性单位声明函 服务方案 标的清单 非联合体不分包投标声明 投标文件封面 书面声明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均按招标文件要求签字、盖章（评分标准中要求提供的证明材料除外）。</w:t>
            </w:r>
          </w:p>
        </w:tc>
        <w:tc>
          <w:tcPr>
            <w:tcW w:type="dxa" w:w="1661"/>
          </w:tcPr>
          <w:p>
            <w:pPr>
              <w:pStyle w:val="null3"/>
            </w:pPr>
            <w:r>
              <w:rPr>
                <w:rFonts w:ascii="仿宋_GB2312" w:hAnsi="仿宋_GB2312" w:cs="仿宋_GB2312" w:eastAsia="仿宋_GB2312"/>
              </w:rPr>
              <w:t>开标一览表 服务内容及服务邀请应答表 保证金汇款声明函 中小企业声明函 商务应答表 控股管理关系 法定代表人授权书 投标人应提交的相关资格证明材料 近三年无重大违法、违纪书面声明 投标函 残疾人福利性单位声明函 服务方案 标的清单 非联合体不分包投标声明 投标文件封面 书面声明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开标一览表</w:t>
            </w:r>
          </w:p>
        </w:tc>
        <w:tc>
          <w:tcPr>
            <w:tcW w:type="dxa" w:w="3322"/>
          </w:tcPr>
          <w:p>
            <w:pPr>
              <w:pStyle w:val="null3"/>
            </w:pPr>
            <w:r>
              <w:rPr>
                <w:rFonts w:ascii="仿宋_GB2312" w:hAnsi="仿宋_GB2312" w:cs="仿宋_GB2312" w:eastAsia="仿宋_GB2312"/>
              </w:rPr>
              <w:t>（1）投标报价符合唯一性要求； （2）开标一览表填写符合要求； （3）计量单位、报价货币均符合招标文件要求； （4）未超出采购预算或招标文件规定的最高限价。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完全理解接受招标文件商务条款。</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保证金汇款声明函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无其他招标文件或法规明确规定响应无效的事项</w:t>
            </w:r>
          </w:p>
        </w:tc>
        <w:tc>
          <w:tcPr>
            <w:tcW w:type="dxa" w:w="3322"/>
          </w:tcPr>
          <w:p>
            <w:pPr>
              <w:pStyle w:val="null3"/>
            </w:pPr>
            <w:r>
              <w:rPr>
                <w:rFonts w:ascii="仿宋_GB2312" w:hAnsi="仿宋_GB2312" w:cs="仿宋_GB2312" w:eastAsia="仿宋_GB2312"/>
              </w:rPr>
              <w:t>没有不符合招标文件规定的被视为无效响应的其他条款。</w:t>
            </w:r>
          </w:p>
        </w:tc>
        <w:tc>
          <w:tcPr>
            <w:tcW w:type="dxa" w:w="1661"/>
          </w:tcPr>
          <w:p>
            <w:pPr>
              <w:pStyle w:val="null3"/>
            </w:pPr>
            <w:r>
              <w:rPr>
                <w:rFonts w:ascii="仿宋_GB2312" w:hAnsi="仿宋_GB2312" w:cs="仿宋_GB2312" w:eastAsia="仿宋_GB2312"/>
              </w:rPr>
              <w:t>开标一览表 服务内容及服务邀请应答表 保证金汇款声明函 中小企业声明函 商务应答表 控股管理关系 法定代表人授权书 投标人应提交的相关资格证明材料 近三年无重大违法、违纪书面声明 投标函 残疾人福利性单位声明函 服务方案 标的清单 非联合体不分包投标声明 投标文件封面 书面声明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w:t>
            </w:r>
          </w:p>
        </w:tc>
        <w:tc>
          <w:tcPr>
            <w:tcW w:type="dxa" w:w="2492"/>
          </w:tcPr>
          <w:p>
            <w:pPr>
              <w:pStyle w:val="null3"/>
            </w:pPr>
            <w:r>
              <w:rPr>
                <w:rFonts w:ascii="仿宋_GB2312" w:hAnsi="仿宋_GB2312" w:cs="仿宋_GB2312" w:eastAsia="仿宋_GB2312"/>
              </w:rPr>
              <w:t>根据煤化工企业地块土壤修复项目需求，提出适用于本项目的总体服务方案，方案内容包含：①项目背景（煤化工地块污染现状、修复必要性等）②服务目标（修复后污染物达标、技术示范效果、推广价值等）③服务内容（编制修复方案、开展示范工程、编写推广技术方案等对应采购内容）④服务计划（匹配2025年12月30日前完成的服务期限，明确各阶段时间节点）。 根据方案的响应程度，完全响应得16分；每有一项缺项内容扣4分，每有一处内容存在缺陷扣2分（缺陷定义：存在不适用煤化工地块实际情况、凭空编造、前后矛盾、逻辑错误、规范标准错误、套用其他方案、无实质性内容等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主要任务</w:t>
            </w:r>
          </w:p>
        </w:tc>
        <w:tc>
          <w:tcPr>
            <w:tcW w:type="dxa" w:w="2492"/>
          </w:tcPr>
          <w:p>
            <w:pPr>
              <w:pStyle w:val="null3"/>
            </w:pPr>
            <w:r>
              <w:rPr>
                <w:rFonts w:ascii="仿宋_GB2312" w:hAnsi="仿宋_GB2312" w:cs="仿宋_GB2312" w:eastAsia="仿宋_GB2312"/>
              </w:rPr>
              <w:t>根据项目需求提出适用于本项目的具体实施方案，方案内容包含：①需求分析（煤化工地块污染特征、修复技术适配性、推广价值定位等）②修复方案编制（物探技术选型与实施流程、修复技术参数设计等）③现场示范实施（施工组织计划、修复过程监测方案、验收标准对接等）④推广方案编写（技术要点提炼、复制场景适配性分析等）。 根据方案的响应程度，完全响应得16分；每有一项缺项内容扣4分，每有一处内容存在缺陷扣2分（缺陷定义：存在不适用煤化工地块实际情况、凭空编造、前后矛盾、逻辑错误、规范标准错误、套用其他方案、无实质性内容等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质量管理</w:t>
            </w:r>
          </w:p>
        </w:tc>
        <w:tc>
          <w:tcPr>
            <w:tcW w:type="dxa" w:w="2492"/>
          </w:tcPr>
          <w:p>
            <w:pPr>
              <w:pStyle w:val="null3"/>
            </w:pPr>
            <w:r>
              <w:rPr>
                <w:rFonts w:ascii="仿宋_GB2312" w:hAnsi="仿宋_GB2312" w:cs="仿宋_GB2312" w:eastAsia="仿宋_GB2312"/>
              </w:rPr>
              <w:t>根据项目需求提出适用于本项目的质量管理制度，控制各工作环节质量，确保修复效果达标，方案内容包括：①重难点分析（物探数据准确性保障、修复效率稳定性、二次污染防控等）②质量控制（勘察数据复核机制、修复材料/菌种质量检验、施工过程旁站监理等）③质量检查验收（分阶段验收节点设计、第三方检测机构协作、修复效果评估标准等）。 根据方案的响应程度，完全响应得9分；每有一项缺项内容扣3分，每有一处内容存在缺陷扣1.5分（缺陷定义：存在不适用煤化工地块实际情况、凭空编造、前后矛盾、逻辑错误、规范标准错误、套用其他方案、无实质性内容等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进度管理</w:t>
            </w:r>
          </w:p>
        </w:tc>
        <w:tc>
          <w:tcPr>
            <w:tcW w:type="dxa" w:w="2492"/>
          </w:tcPr>
          <w:p>
            <w:pPr>
              <w:pStyle w:val="null3"/>
            </w:pPr>
            <w:r>
              <w:rPr>
                <w:rFonts w:ascii="仿宋_GB2312" w:hAnsi="仿宋_GB2312" w:cs="仿宋_GB2312" w:eastAsia="仿宋_GB2312"/>
              </w:rPr>
              <w:t>根据项目需求（2025年12月30日前完成）提出适用于本项目的进度管理方案，方案内容包括：①实施进度（物探勘察、方案编制、现场修复、效果评估、成果提交等各阶段时间节点，需明确施工季节适配性安排）②成果提交（物探勘察报告、修复方案、阶段验收报告、最终技术推广方案等的提交时间与形式）。 根据方案的响应程度，完全响应得6分；每有一项缺项内容扣3分，每有一处内容存在缺陷扣1.5分（缺陷定义：存在不适用煤化工地块实际情况、凭空编造、前后矛盾、逻辑错误、规范标准错误、套用其他方案、无实质性内容等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安全保密</w:t>
            </w:r>
          </w:p>
        </w:tc>
        <w:tc>
          <w:tcPr>
            <w:tcW w:type="dxa" w:w="2492"/>
          </w:tcPr>
          <w:p>
            <w:pPr>
              <w:pStyle w:val="null3"/>
            </w:pPr>
            <w:r>
              <w:rPr>
                <w:rFonts w:ascii="仿宋_GB2312" w:hAnsi="仿宋_GB2312" w:cs="仿宋_GB2312" w:eastAsia="仿宋_GB2312"/>
              </w:rPr>
              <w:t>根据项目需求（含保密要求）提出适用于本项目的安全保密方案，方案内容包含：①制度建设（现场施工安全规范、污染数据/技术资料保密制度、涉密文件管理流程等）②人员管理（安全培训计划、保密责任承诺书、现场人员准入机制等）。 根据方案的响应程度，完全响应得6分；每有一项缺项内容扣3分，每有一处内容存在缺陷扣1.5分（缺陷定义：存在不适用煤化工地块实际情况、凭空编造、前后矛盾、逻辑错误、规范标准错误、套用其他方案、无实质性内容等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风险控制</w:t>
            </w:r>
          </w:p>
        </w:tc>
        <w:tc>
          <w:tcPr>
            <w:tcW w:type="dxa" w:w="2492"/>
          </w:tcPr>
          <w:p>
            <w:pPr>
              <w:pStyle w:val="null3"/>
            </w:pPr>
            <w:r>
              <w:rPr>
                <w:rFonts w:ascii="仿宋_GB2312" w:hAnsi="仿宋_GB2312" w:cs="仿宋_GB2312" w:eastAsia="仿宋_GB2312"/>
              </w:rPr>
              <w:t>根据项目需求建立适用于本项目的风险控制制度，方案内容包含：①风险点分析（物探技术偏差风险、修复效果不达预期风险、工期延误风险、二次污染风险等）②风险评估（各风险影响程度与发生概率分析）③应急预案（技术补救措施、工期赶工计划、污染应急处理流程等）。 根据方案的响应程度，完全响应得9分；每有一项缺项内容扣3分，每有一处内容存在缺陷扣1.5分（缺陷定义：存在不适用煤化工地块实际情况、凭空编造、前后矛盾、逻辑错误、规范标准错误、套用其他方案、无实质性内容等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1、拟派项目负责人具有环境、土壤、检测分析、微生物或地质等相关专业正高级职称，得4分； 2.拟派项目负责人自2022年1月1日至今承担过煤化工地块土壤修复或土壤污染调查类项目的，得3分； 3.拟派团队成员（除项目负责人外）具有环境、土壤、检测分析、微生物或地质类相关专业正高级职称，每提供1人得3分；具有高级职称的，每提供1人得2分，高级职称得分最高6分，具有中级职称的，每提供1人得1分，中级职称得分最高3分，本项最高得12分。 证明材料要求： 1、投标供应商应提供上述所有人员开标前六个月内任意一个月的社保证明材料或劳务合同等有效供职证明，未提供或提供材料无效本项目不得分； 2、提供项目负责人职称证书、有效项目批准通知书、任务书、合同等业绩证明材料（需体现项目负责人姓名等信息）； 3、提供团队成员（除项目负责人）职称证书； 4、以上证明材料均提供复印件或扫描件。</w:t>
            </w:r>
          </w:p>
        </w:tc>
        <w:tc>
          <w:tcPr>
            <w:tcW w:type="dxa" w:w="831"/>
          </w:tcPr>
          <w:p>
            <w:pPr>
              <w:pStyle w:val="null3"/>
              <w:jc w:val="right"/>
            </w:pPr>
            <w:r>
              <w:rPr>
                <w:rFonts w:ascii="仿宋_GB2312" w:hAnsi="仿宋_GB2312" w:cs="仿宋_GB2312" w:eastAsia="仿宋_GB2312"/>
              </w:rPr>
              <w:t>19.0000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1、投标供应商2021年1月至今（以签订合同时间为准）承担过地块土壤修复、土壤污染调查、综合治理类项目，提供对应项目业绩证明材料，每提供1个有效业绩证明材料得2分，最高得6分。 2、投标供应商2021年1月至今（以签订合同时间为准）承担过煤化工地块土壤修复类国家级科研课题，提供1个对应科研课题证明材料，得3分。 注：证明材料指项目批准通知书、任务书、任务书关键页（含封面、内容、签订时间、盖章签字页等信息）、合同、合同关键页（含封面、内容、签订时间、盖章签字页等信息），提供复印件或扫描件。</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最低的投标报价为基准价，其价格分为满分。其他供应商的价格分统一按照下列公式计算：投标报价得分=(基准价／投标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w:t>
            </w:r>
          </w:p>
        </w:tc>
        <w:tc>
          <w:tcPr>
            <w:tcW w:type="dxa" w:w="2492"/>
          </w:tcPr>
          <w:p>
            <w:pPr>
              <w:pStyle w:val="null3"/>
            </w:pPr>
            <w:r>
              <w:rPr>
                <w:rFonts w:ascii="仿宋_GB2312" w:hAnsi="仿宋_GB2312" w:cs="仿宋_GB2312" w:eastAsia="仿宋_GB2312"/>
              </w:rPr>
              <w:t>根据本项目实际修复技术需求编制技术方案（技术方案内容应包含：①对项目的背景、地块情况、水文地质情况、污染情况等了解掌握并分析；②对地块污染物分布、修复范围了解掌握并分析；③修复目标的了解与分析；④修复技术路线及工作方法了解掌握并分析；⑤完善可行的效果评估布点监测方案） 根据方案的响应程度，完全响应得15分；每有一项缺项内容扣3分，每有一处内容存在缺陷扣1.5分（缺陷定义：存在不适用煤化工地块实际情况、凭空编造、前后矛盾、逻辑错误、规范标准错误、套用其他方案、无实质性内容等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主要任务</w:t>
            </w:r>
          </w:p>
        </w:tc>
        <w:tc>
          <w:tcPr>
            <w:tcW w:type="dxa" w:w="2492"/>
          </w:tcPr>
          <w:p>
            <w:pPr>
              <w:pStyle w:val="null3"/>
            </w:pPr>
            <w:r>
              <w:rPr>
                <w:rFonts w:ascii="仿宋_GB2312" w:hAnsi="仿宋_GB2312" w:cs="仿宋_GB2312" w:eastAsia="仿宋_GB2312"/>
              </w:rPr>
              <w:t>深刻了解本项目原地异位生物堆主要修复技术的流程，明确效果评估主要任务内容（①原地异位生物堆及其他本场地修复技术的重难点分析；②对应效果评估措施；③明确的效果评估监测计划④相关的合理化建议） 根据方案的响应程度，完全响应得16分；每有一项缺项内容扣4分，每有一处内容存在缺陷扣2分（缺陷定义：存在不适用煤化工地块实际情况、凭空编造、前后矛盾、逻辑错误、规范标准错误、套用其他方案、无实质性内容等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质量管理</w:t>
            </w:r>
          </w:p>
        </w:tc>
        <w:tc>
          <w:tcPr>
            <w:tcW w:type="dxa" w:w="2492"/>
          </w:tcPr>
          <w:p>
            <w:pPr>
              <w:pStyle w:val="null3"/>
            </w:pPr>
            <w:r>
              <w:rPr>
                <w:rFonts w:ascii="仿宋_GB2312" w:hAnsi="仿宋_GB2312" w:cs="仿宋_GB2312" w:eastAsia="仿宋_GB2312"/>
              </w:rPr>
              <w:t>根据本项目效果评估内容，针对各项修复技术，提供适用本项目的质量保障（①质量管理体系；②方案编制质量保障；③布点监测、采样、转运及分析过程的质量保障） 根据方案的响应程度，完全响应得12分；每有一项缺项内容扣4分，每有一处内容存在缺陷扣2分（缺陷定义：存在不适用煤化工地块实际情况、凭空编造、前后矛盾、逻辑错误、规范标准错误、套用其他方案、无实质性内容等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进度管理</w:t>
            </w:r>
          </w:p>
        </w:tc>
        <w:tc>
          <w:tcPr>
            <w:tcW w:type="dxa" w:w="2492"/>
          </w:tcPr>
          <w:p>
            <w:pPr>
              <w:pStyle w:val="null3"/>
            </w:pPr>
            <w:r>
              <w:rPr>
                <w:rFonts w:ascii="仿宋_GB2312" w:hAnsi="仿宋_GB2312" w:cs="仿宋_GB2312" w:eastAsia="仿宋_GB2312"/>
              </w:rPr>
              <w:t>根据项目实际需求，提供进度管理方案，其方案包含①进度计划安排；②时间进度安排是否合理可行；③是否对本项目各个效果评估节点中影响进度的风险点有深刻的认识和得力的解决办法 根据方案的响应程度，完全响应得9分；每有一项缺项内容扣3分，每有一处内容存在缺陷扣1.5分（缺陷定义：存在不适用煤化工地块实际情况、凭空编造、前后矛盾、逻辑错误、规范标准错误、套用其他方案、无实质性内容等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安全保密</w:t>
            </w:r>
          </w:p>
        </w:tc>
        <w:tc>
          <w:tcPr>
            <w:tcW w:type="dxa" w:w="2492"/>
          </w:tcPr>
          <w:p>
            <w:pPr>
              <w:pStyle w:val="null3"/>
            </w:pPr>
            <w:r>
              <w:rPr>
                <w:rFonts w:ascii="仿宋_GB2312" w:hAnsi="仿宋_GB2312" w:cs="仿宋_GB2312" w:eastAsia="仿宋_GB2312"/>
              </w:rPr>
              <w:t>根据项目实际需求，提供安全保密措施，主要内容①针对本项目制定专项保密计划②针对本项目提供保障设备 根据方案的响应程度，完全响应得6分；每有一项缺项内容扣3分，每有一处内容存在缺陷扣1.5分（缺陷定义：存在不适用煤化工地块实际情况、凭空编造、前后矛盾、逻辑错误、规范标准错误、套用其他方案、无实质性内容等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风险控制</w:t>
            </w:r>
          </w:p>
        </w:tc>
        <w:tc>
          <w:tcPr>
            <w:tcW w:type="dxa" w:w="2492"/>
          </w:tcPr>
          <w:p>
            <w:pPr>
              <w:pStyle w:val="null3"/>
            </w:pPr>
            <w:r>
              <w:rPr>
                <w:rFonts w:ascii="仿宋_GB2312" w:hAnsi="仿宋_GB2312" w:cs="仿宋_GB2312" w:eastAsia="仿宋_GB2312"/>
              </w:rPr>
              <w:t>针对本修复示范工程实际，编制风险控制方案（内容应包括：①效果评估过程中针对工程二次污染的环境影响分析；②效果评估过程中的二次污染防范措施；③效果评估应急措施④重大事故的快速处理预案、解决问题能力保障；⑤安全保护防范措施） 根据方案的响应程度，完全响应得10分；每有一项缺项内容扣2分，每有一处内容存在缺陷扣1分（缺陷定义：存在不适用煤化工地块实际情况、凭空编造、前后矛盾、逻辑错误、规范标准错误、套用其他方案、无实质性内容等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1.拟派项目负责人具有环境或水工环专业高级及以上职称，得4分； 2.拟派项目负责人近5年承担或主要参与过土壤修复或评估类项目（不限工业污染场地）的，得3分； 3.拟派团队成员（除项目负责人外）具有环境评估（或水工环）专业高级职称的，每提供 1人得2分；具有中级职称的，每提供1人得1分，本项最高得5分。 证明材料要求： 1. 投标供应商应提供上述所有人员开标前六个月内任意一个月的社保证明材料或劳务合同等有效供职证明，未提供或提供材料无效本项目不得分； 2. 提供项目负责人职称证书、学历及学位证书、有效项目批准通知书、合同等业绩证明材料； 3. 提供团队成员（除项目负责人外）职称证书； 4. 以上证明材料均提供复印件或扫描件。</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投标供应商2021年1月至今（以签订合同时间为准）承担过工业污染场地修复工程、土壤污染状况调查、土壤修复效果评估的相关项目，提供对应项目业绩证明材料，每提供1个有效业绩证明材料得2分，最高得10分。 注：业绩证明材料指项目批准通知书、任务书、合同、合同关键页（含封面、内容、签订时间、盖章签字页等信息），提供复印件或扫描件。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最低的投标报价为基准价，其价格分为满分。其他供应商的价格分统一按照下列公式计算：投标报价得分=(基准价／投标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详见附件：保证金汇款声明函</w:t>
      </w:r>
    </w:p>
    <w:p>
      <w:pPr>
        <w:pStyle w:val="null3"/>
        <w:ind w:firstLine="960"/>
      </w:pPr>
      <w:r>
        <w:rPr>
          <w:rFonts w:ascii="仿宋_GB2312" w:hAnsi="仿宋_GB2312" w:cs="仿宋_GB2312" w:eastAsia="仿宋_GB2312"/>
        </w:rPr>
        <w:t>详见附件：法定代表人授权书</w:t>
      </w:r>
    </w:p>
    <w:p>
      <w:pPr>
        <w:pStyle w:val="null3"/>
        <w:ind w:firstLine="960"/>
      </w:pPr>
      <w:r>
        <w:rPr>
          <w:rFonts w:ascii="仿宋_GB2312" w:hAnsi="仿宋_GB2312" w:cs="仿宋_GB2312" w:eastAsia="仿宋_GB2312"/>
        </w:rPr>
        <w:t>详见附件：非联合体不分包投标声明</w:t>
      </w:r>
    </w:p>
    <w:p>
      <w:pPr>
        <w:pStyle w:val="null3"/>
        <w:ind w:firstLine="960"/>
      </w:pPr>
      <w:r>
        <w:rPr>
          <w:rFonts w:ascii="仿宋_GB2312" w:hAnsi="仿宋_GB2312" w:cs="仿宋_GB2312" w:eastAsia="仿宋_GB2312"/>
        </w:rPr>
        <w:t>详见附件：近三年无重大违法、违纪书面声明</w:t>
      </w:r>
    </w:p>
    <w:p>
      <w:pPr>
        <w:pStyle w:val="null3"/>
        <w:ind w:firstLine="960"/>
      </w:pPr>
      <w:r>
        <w:rPr>
          <w:rFonts w:ascii="仿宋_GB2312" w:hAnsi="仿宋_GB2312" w:cs="仿宋_GB2312" w:eastAsia="仿宋_GB2312"/>
        </w:rPr>
        <w:t>详见附件：控股管理关系</w:t>
      </w:r>
    </w:p>
    <w:p>
      <w:pPr>
        <w:pStyle w:val="null3"/>
        <w:ind w:firstLine="960"/>
      </w:pPr>
      <w:r>
        <w:rPr>
          <w:rFonts w:ascii="仿宋_GB2312" w:hAnsi="仿宋_GB2312" w:cs="仿宋_GB2312" w:eastAsia="仿宋_GB2312"/>
        </w:rPr>
        <w:t>详见附件：书面声明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详见附件：保证金汇款声明函</w:t>
      </w:r>
    </w:p>
    <w:p>
      <w:pPr>
        <w:pStyle w:val="null3"/>
        <w:ind w:firstLine="960"/>
      </w:pPr>
      <w:r>
        <w:rPr>
          <w:rFonts w:ascii="仿宋_GB2312" w:hAnsi="仿宋_GB2312" w:cs="仿宋_GB2312" w:eastAsia="仿宋_GB2312"/>
        </w:rPr>
        <w:t>详见附件：法定代表人授权书</w:t>
      </w:r>
    </w:p>
    <w:p>
      <w:pPr>
        <w:pStyle w:val="null3"/>
        <w:ind w:firstLine="960"/>
      </w:pPr>
      <w:r>
        <w:rPr>
          <w:rFonts w:ascii="仿宋_GB2312" w:hAnsi="仿宋_GB2312" w:cs="仿宋_GB2312" w:eastAsia="仿宋_GB2312"/>
        </w:rPr>
        <w:t>详见附件：非联合体不分包投标声明</w:t>
      </w:r>
    </w:p>
    <w:p>
      <w:pPr>
        <w:pStyle w:val="null3"/>
        <w:ind w:firstLine="960"/>
      </w:pPr>
      <w:r>
        <w:rPr>
          <w:rFonts w:ascii="仿宋_GB2312" w:hAnsi="仿宋_GB2312" w:cs="仿宋_GB2312" w:eastAsia="仿宋_GB2312"/>
        </w:rPr>
        <w:t>详见附件：近三年无重大违法、违纪书面声明</w:t>
      </w:r>
    </w:p>
    <w:p>
      <w:pPr>
        <w:pStyle w:val="null3"/>
        <w:ind w:firstLine="960"/>
      </w:pPr>
      <w:r>
        <w:rPr>
          <w:rFonts w:ascii="仿宋_GB2312" w:hAnsi="仿宋_GB2312" w:cs="仿宋_GB2312" w:eastAsia="仿宋_GB2312"/>
        </w:rPr>
        <w:t>详见附件：控股管理关系</w:t>
      </w:r>
    </w:p>
    <w:p>
      <w:pPr>
        <w:pStyle w:val="null3"/>
        <w:ind w:firstLine="960"/>
      </w:pPr>
      <w:r>
        <w:rPr>
          <w:rFonts w:ascii="仿宋_GB2312" w:hAnsi="仿宋_GB2312" w:cs="仿宋_GB2312" w:eastAsia="仿宋_GB2312"/>
        </w:rPr>
        <w:t>详见附件：书面声明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