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rPr>
          <w:rFonts w:ascii="宋体" w:hAnsi="宋体"/>
          <w:b/>
          <w:sz w:val="32"/>
          <w:szCs w:val="32"/>
        </w:rPr>
      </w:pPr>
      <w:r>
        <w:rPr>
          <w:rFonts w:hint="eastAsia" w:ascii="宋体" w:hAnsi="宋体"/>
          <w:b/>
          <w:sz w:val="32"/>
          <w:szCs w:val="32"/>
        </w:rPr>
        <w:t>投标人资格条件证明文件</w:t>
      </w:r>
    </w:p>
    <w:p>
      <w:pPr>
        <w:keepLines/>
        <w:kinsoku/>
        <w:wordWrap w:val="0"/>
        <w:topLinePunct/>
        <w:autoSpaceDE/>
        <w:autoSpaceDN/>
        <w:spacing w:line="360" w:lineRule="auto"/>
        <w:ind w:right="48" w:firstLine="480" w:firstLineChars="200"/>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1、具有独立承担民事责任能力的法人、其他组织或自然人，并出具合法有效的营业执照或事业单位法人证书等国家规定的相关证明，自然人参与的提供其身份证明。</w:t>
      </w:r>
    </w:p>
    <w:p>
      <w:pPr>
        <w:keepLines/>
        <w:kinsoku/>
        <w:wordWrap w:val="0"/>
        <w:topLinePunct/>
        <w:autoSpaceDE/>
        <w:autoSpaceDN/>
        <w:spacing w:line="360" w:lineRule="auto"/>
        <w:ind w:right="48" w:firstLine="480" w:firstLineChars="200"/>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2、财务状况报告：提供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keepLines/>
        <w:kinsoku/>
        <w:wordWrap w:val="0"/>
        <w:topLinePunct/>
        <w:autoSpaceDE/>
        <w:autoSpaceDN/>
        <w:spacing w:line="360" w:lineRule="auto"/>
        <w:ind w:right="48" w:firstLine="480" w:firstLineChars="200"/>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3、税收缴纳证明：提供上一年度至今任意一个月的依法缴纳税收的相关凭据（时间以税款所属日期为准），凭据应有税务机关或代收机关的公章或业务专用章。依法免税或无须缴纳税收的投标人，应提供相应证明文件。</w:t>
      </w:r>
    </w:p>
    <w:p>
      <w:pPr>
        <w:keepLines/>
        <w:kinsoku/>
        <w:wordWrap w:val="0"/>
        <w:topLinePunct/>
        <w:autoSpaceDE/>
        <w:autoSpaceDN/>
        <w:spacing w:line="360" w:lineRule="auto"/>
        <w:ind w:right="48" w:firstLine="480" w:firstLineChars="200"/>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4、社会保障资金缴纳证明：提供上一年度至今已缴存的至少一个月的社会保障资金缴存单据或社保机构开具的社会保险参保缴费情况证明，依法不需要缴纳社会保障资金的单位应提供相关证明材料。</w:t>
      </w:r>
    </w:p>
    <w:p>
      <w:pPr>
        <w:keepLines/>
        <w:kinsoku/>
        <w:wordWrap w:val="0"/>
        <w:topLinePunct/>
        <w:autoSpaceDE/>
        <w:autoSpaceDN/>
        <w:spacing w:line="360" w:lineRule="auto"/>
        <w:ind w:right="48" w:firstLine="480" w:firstLineChars="200"/>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keepLines/>
        <w:kinsoku/>
        <w:wordWrap w:val="0"/>
        <w:topLinePunct/>
        <w:autoSpaceDE/>
        <w:autoSpaceDN/>
        <w:spacing w:line="360" w:lineRule="auto"/>
        <w:ind w:right="48" w:firstLine="480" w:firstLineChars="200"/>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6、控股管理关系：提供直接控股和管理关系清单。若与其他投标人存在单位负责人为同一人或者存在直接控股、管理关系的，则投标无效。</w:t>
      </w:r>
    </w:p>
    <w:p>
      <w:pPr>
        <w:keepLines/>
        <w:kinsoku/>
        <w:wordWrap w:val="0"/>
        <w:topLinePunct/>
        <w:autoSpaceDE/>
        <w:autoSpaceDN/>
        <w:spacing w:line="360" w:lineRule="auto"/>
        <w:ind w:right="48" w:firstLine="480" w:firstLineChars="200"/>
        <w:rPr>
          <w:rFonts w:ascii="宋体" w:hAnsi="宋体" w:eastAsia="宋体" w:cs="宋体"/>
          <w:color w:val="auto"/>
          <w:position w:val="15"/>
          <w:sz w:val="24"/>
          <w:szCs w:val="24"/>
          <w:lang w:eastAsia="zh-CN"/>
        </w:rPr>
      </w:pPr>
      <w:r>
        <w:rPr>
          <w:rFonts w:hint="eastAsia" w:ascii="宋体" w:hAnsi="宋体" w:eastAsia="宋体" w:cs="宋体"/>
          <w:position w:val="15"/>
          <w:sz w:val="24"/>
          <w:szCs w:val="24"/>
          <w:lang w:eastAsia="zh-CN"/>
        </w:rPr>
        <w:t>7、提供具有履行合同所必需的设备和专业技术能</w:t>
      </w:r>
      <w:r>
        <w:rPr>
          <w:rFonts w:hint="eastAsia" w:ascii="宋体" w:hAnsi="宋体" w:eastAsia="宋体" w:cs="宋体"/>
          <w:color w:val="auto"/>
          <w:position w:val="15"/>
          <w:sz w:val="24"/>
          <w:szCs w:val="24"/>
          <w:lang w:eastAsia="zh-CN"/>
        </w:rPr>
        <w:t>力的承诺函。</w:t>
      </w:r>
    </w:p>
    <w:p>
      <w:pPr>
        <w:keepLines/>
        <w:kinsoku/>
        <w:wordWrap w:val="0"/>
        <w:topLinePunct/>
        <w:autoSpaceDE/>
        <w:autoSpaceDN/>
        <w:spacing w:line="360" w:lineRule="auto"/>
        <w:ind w:right="48" w:firstLine="480" w:firstLineChars="200"/>
        <w:rPr>
          <w:rFonts w:ascii="宋体" w:hAnsi="宋体" w:eastAsia="宋体" w:cs="宋体"/>
          <w:color w:val="auto"/>
          <w:position w:val="15"/>
          <w:sz w:val="24"/>
          <w:szCs w:val="24"/>
          <w:lang w:eastAsia="zh-CN"/>
        </w:rPr>
      </w:pPr>
      <w:r>
        <w:rPr>
          <w:rFonts w:hint="eastAsia" w:ascii="宋体" w:hAnsi="宋体" w:eastAsia="宋体" w:cs="宋体"/>
          <w:color w:val="auto"/>
          <w:position w:val="15"/>
          <w:sz w:val="24"/>
          <w:szCs w:val="24"/>
          <w:lang w:eastAsia="zh-CN"/>
        </w:rPr>
        <w:t>8、法定代表人授权书及被授权人身份证复印件。（法定代表人直接投标只须提交其身份证复印件）。</w:t>
      </w:r>
    </w:p>
    <w:p>
      <w:pPr>
        <w:keepLines/>
        <w:kinsoku/>
        <w:wordWrap w:val="0"/>
        <w:topLinePunct/>
        <w:autoSpaceDE/>
        <w:autoSpaceDN/>
        <w:spacing w:line="360" w:lineRule="auto"/>
        <w:ind w:right="48" w:firstLine="480" w:firstLineChars="200"/>
        <w:rPr>
          <w:rFonts w:ascii="宋体" w:hAnsi="宋体" w:eastAsia="宋体" w:cs="宋体"/>
          <w:b/>
          <w:bCs/>
          <w:color w:val="auto"/>
          <w:position w:val="15"/>
          <w:sz w:val="24"/>
          <w:szCs w:val="24"/>
          <w:lang w:eastAsia="zh-CN"/>
        </w:rPr>
      </w:pPr>
      <w:r>
        <w:rPr>
          <w:rFonts w:hint="eastAsia" w:ascii="宋体" w:hAnsi="宋体" w:eastAsia="宋体" w:cs="宋体"/>
          <w:color w:val="auto"/>
          <w:position w:val="15"/>
          <w:sz w:val="24"/>
          <w:szCs w:val="24"/>
          <w:lang w:eastAsia="zh-CN"/>
        </w:rPr>
        <w:t>9、投标人须具有省级以上（含省级）新闻出版局颁发的出版物经营许可证。</w:t>
      </w:r>
    </w:p>
    <w:p>
      <w:pPr>
        <w:widowControl/>
        <w:spacing w:line="510" w:lineRule="atLeast"/>
        <w:ind w:firstLine="480"/>
        <w:jc w:val="left"/>
        <w:rPr>
          <w:rFonts w:ascii="宋体" w:hAnsi="宋体" w:cs="Helvetica"/>
          <w:kern w:val="0"/>
          <w:sz w:val="24"/>
        </w:rPr>
      </w:pPr>
    </w:p>
    <w:p>
      <w:pPr>
        <w:spacing w:line="360" w:lineRule="atLeast"/>
        <w:jc w:val="center"/>
        <w:rPr>
          <w:rFonts w:ascii="宋体" w:hAnsi="宋体"/>
          <w:b/>
          <w:sz w:val="32"/>
          <w:szCs w:val="32"/>
        </w:rPr>
      </w:pPr>
    </w:p>
    <w:p>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pPr>
        <w:tabs>
          <w:tab w:val="left" w:pos="210"/>
        </w:tabs>
        <w:spacing w:line="320" w:lineRule="exact"/>
        <w:rPr>
          <w:rFonts w:ascii="宋体" w:hAnsi="宋体" w:cs="Arial"/>
          <w:b/>
          <w:kern w:val="0"/>
          <w:sz w:val="32"/>
          <w:szCs w:val="32"/>
        </w:rPr>
      </w:pPr>
    </w:p>
    <w:p>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pPr>
              <w:tabs>
                <w:tab w:val="left" w:pos="210"/>
              </w:tabs>
              <w:spacing w:line="320" w:lineRule="exact"/>
              <w:jc w:val="center"/>
              <w:rPr>
                <w:rFonts w:ascii="宋体" w:hAnsi="宋体" w:cs="Arial"/>
                <w:kern w:val="0"/>
                <w:sz w:val="24"/>
              </w:rPr>
            </w:pPr>
          </w:p>
        </w:tc>
        <w:tc>
          <w:tcPr>
            <w:tcW w:w="2061"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pPr>
              <w:tabs>
                <w:tab w:val="left" w:pos="210"/>
              </w:tabs>
              <w:spacing w:line="320" w:lineRule="exact"/>
              <w:jc w:val="center"/>
              <w:rPr>
                <w:rFonts w:ascii="宋体" w:hAnsi="宋体" w:cs="Arial"/>
                <w:kern w:val="0"/>
                <w:sz w:val="24"/>
              </w:rPr>
            </w:pPr>
          </w:p>
        </w:tc>
        <w:tc>
          <w:tcPr>
            <w:tcW w:w="2061"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4125" w:type="dxa"/>
            <w:gridSpan w:val="2"/>
            <w:vMerge w:val="continue"/>
            <w:vAlign w:val="center"/>
          </w:tcPr>
          <w:p>
            <w:pPr>
              <w:tabs>
                <w:tab w:val="left" w:pos="210"/>
              </w:tabs>
              <w:spacing w:line="320" w:lineRule="exact"/>
              <w:jc w:val="center"/>
              <w:rPr>
                <w:rFonts w:ascii="宋体" w:hAnsi="宋体" w:cs="Arial"/>
                <w:kern w:val="0"/>
                <w:sz w:val="24"/>
              </w:rPr>
            </w:pPr>
          </w:p>
        </w:tc>
        <w:tc>
          <w:tcPr>
            <w:tcW w:w="4297" w:type="dxa"/>
            <w:gridSpan w:val="3"/>
            <w:vAlign w:val="bottom"/>
          </w:tcPr>
          <w:p>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p>
          <w:p>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pPr>
        <w:tabs>
          <w:tab w:val="left" w:pos="210"/>
        </w:tabs>
        <w:spacing w:line="320" w:lineRule="exact"/>
        <w:jc w:val="left"/>
        <w:rPr>
          <w:rFonts w:ascii="宋体" w:hAnsi="宋体" w:cs="Arial"/>
          <w:b/>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（法定代表人直接投标，只须提供法定代表人证明书）</w:t>
      </w:r>
    </w:p>
    <w:p>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pPr>
        <w:pStyle w:val="4"/>
        <w:spacing w:line="500" w:lineRule="exact"/>
        <w:rPr>
          <w:rFonts w:hAnsi="宋体"/>
          <w:b/>
          <w:bCs/>
          <w:sz w:val="24"/>
          <w:szCs w:val="24"/>
        </w:rPr>
      </w:pPr>
      <w:r>
        <w:rPr>
          <w:rFonts w:hint="eastAsia" w:hAnsi="宋体"/>
          <w:sz w:val="24"/>
          <w:szCs w:val="24"/>
        </w:rPr>
        <w:t>陕西开源招标有限公司：</w:t>
      </w:r>
    </w:p>
    <w:p>
      <w:pPr>
        <w:pStyle w:val="4"/>
        <w:spacing w:line="500" w:lineRule="exact"/>
        <w:ind w:left="-120" w:leftChars="-57" w:firstLine="600" w:firstLineChars="250"/>
        <w:rPr>
          <w:rFonts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szCs w:val="24"/>
          <w:lang w:val="en-US" w:eastAsia="zh-CN"/>
        </w:rPr>
        <w:t>由</w:t>
      </w:r>
      <w:r>
        <w:rPr>
          <w:rFonts w:hint="eastAsia" w:hAnsi="宋体"/>
          <w:sz w:val="24"/>
        </w:rPr>
        <w:t>本公司</w:t>
      </w:r>
      <w:r>
        <w:rPr>
          <w:rFonts w:hint="eastAsia" w:hAnsi="宋体"/>
          <w:sz w:val="24"/>
          <w:lang w:val="en-US" w:eastAsia="zh-CN"/>
        </w:rPr>
        <w:t>缴纳社保</w:t>
      </w:r>
      <w:r>
        <w:rPr>
          <w:rFonts w:hint="eastAsia" w:hAnsi="宋体"/>
          <w:sz w:val="24"/>
        </w:rPr>
        <w:t>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pPr>
        <w:pStyle w:val="4"/>
        <w:spacing w:line="500" w:lineRule="exact"/>
        <w:ind w:firstLine="480" w:firstLineChars="200"/>
        <w:rPr>
          <w:rFonts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PrEx>
        <w:trPr>
          <w:cantSplit/>
          <w:trHeight w:val="5027" w:hRule="atLeast"/>
          <w:jc w:val="center"/>
        </w:trPr>
        <w:tc>
          <w:tcPr>
            <w:tcW w:w="4213" w:type="dxa"/>
            <w:shd w:val="clear" w:color="auto" w:fill="E0E0E0"/>
            <w:vAlign w:val="center"/>
          </w:tcPr>
          <w:p>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pPr>
        <w:pStyle w:val="4"/>
        <w:spacing w:line="500" w:lineRule="exact"/>
        <w:ind w:firstLine="240" w:firstLineChars="100"/>
        <w:rPr>
          <w:rFonts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pPr>
        <w:pStyle w:val="4"/>
        <w:spacing w:line="460" w:lineRule="exact"/>
        <w:ind w:firstLine="960" w:firstLineChars="400"/>
      </w:pPr>
      <w:r>
        <w:rPr>
          <w:rFonts w:hint="eastAsia" w:hAnsi="宋体"/>
          <w:sz w:val="24"/>
          <w:szCs w:val="24"/>
        </w:rPr>
        <w:t>2．授权书内容填写要明确，文字要工整清楚，涂改无效。</w:t>
      </w:r>
    </w:p>
    <w:p>
      <w:pPr>
        <w:tabs>
          <w:tab w:val="left" w:pos="210"/>
        </w:tabs>
        <w:spacing w:line="320" w:lineRule="exac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ind w:firstLine="480" w:firstLineChars="200"/>
        <w:jc w:val="left"/>
        <w:rPr>
          <w:rFonts w:ascii="宋体" w:hAnsi="宋体"/>
          <w:b/>
          <w:sz w:val="32"/>
          <w:szCs w:val="32"/>
        </w:rPr>
      </w:pPr>
      <w:r>
        <w:rPr>
          <w:rFonts w:hint="eastAsia" w:ascii="宋体" w:hAnsi="宋体"/>
          <w:sz w:val="24"/>
        </w:rPr>
        <w:t>我单位声明参加本次</w:t>
      </w:r>
      <w:r>
        <w:rPr>
          <w:rFonts w:hint="eastAsia" w:ascii="宋体" w:hAnsi="宋体"/>
          <w:sz w:val="24"/>
          <w:lang w:val="en-US" w:eastAsia="zh-CN"/>
        </w:rPr>
        <w:t>政府采购</w:t>
      </w:r>
      <w:r>
        <w:rPr>
          <w:rFonts w:hint="eastAsia" w:ascii="宋体" w:hAnsi="宋体"/>
          <w:sz w:val="24"/>
        </w:rPr>
        <w:t>活动前三年内，在经营活动中没有重大违纪，以及未被列入失信被执行人、未在重大税收违法失信主体及严重失信主体中。</w:t>
      </w:r>
    </w:p>
    <w:p>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pPr>
        <w:spacing w:line="360" w:lineRule="auto"/>
        <w:jc w:val="left"/>
        <w:rPr>
          <w:rFonts w:ascii="宋体" w:hAnsi="宋体"/>
          <w:b/>
          <w:sz w:val="32"/>
          <w:szCs w:val="32"/>
        </w:rPr>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投标人全称（公章）：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360" w:lineRule="atLeast"/>
        <w:jc w:val="center"/>
        <w:rPr>
          <w:rFonts w:ascii="宋体" w:hAnsi="宋体"/>
          <w:b/>
          <w:sz w:val="32"/>
          <w:szCs w:val="32"/>
        </w:rPr>
      </w:pPr>
      <w:r>
        <w:rPr>
          <w:rFonts w:ascii="宋体" w:hAnsi="宋体"/>
          <w:sz w:val="24"/>
        </w:rPr>
        <w:br w:type="page"/>
      </w:r>
      <w:r>
        <w:rPr>
          <w:rFonts w:hint="eastAsia"/>
          <w:b/>
          <w:sz w:val="32"/>
          <w:szCs w:val="32"/>
        </w:rPr>
        <w:t>投标人</w:t>
      </w:r>
      <w:r>
        <w:rPr>
          <w:rFonts w:hint="eastAsia" w:ascii="宋体" w:hAnsi="宋体"/>
          <w:b/>
          <w:sz w:val="32"/>
          <w:szCs w:val="32"/>
        </w:rPr>
        <w:t>直接控股和管理关系清单</w:t>
      </w:r>
    </w:p>
    <w:p>
      <w:pPr>
        <w:pStyle w:val="3"/>
        <w:rPr>
          <w:color w:val="auto"/>
        </w:rPr>
      </w:pPr>
    </w:p>
    <w:tbl>
      <w:tblPr>
        <w:tblStyle w:val="7"/>
        <w:tblW w:w="5000" w:type="pct"/>
        <w:tblInd w:w="0" w:type="dxa"/>
        <w:tblLayout w:type="autofit"/>
        <w:tblCellMar>
          <w:top w:w="0" w:type="dxa"/>
          <w:left w:w="108" w:type="dxa"/>
          <w:bottom w:w="0" w:type="dxa"/>
          <w:right w:w="108" w:type="dxa"/>
        </w:tblCellMar>
      </w:tblPr>
      <w:tblGrid>
        <w:gridCol w:w="1720"/>
        <w:gridCol w:w="1720"/>
        <w:gridCol w:w="1554"/>
        <w:gridCol w:w="1716"/>
        <w:gridCol w:w="1812"/>
      </w:tblGrid>
      <w:tr>
        <w:tblPrEx>
          <w:tblCellMar>
            <w:top w:w="0" w:type="dxa"/>
            <w:left w:w="108" w:type="dxa"/>
            <w:bottom w:w="0" w:type="dxa"/>
            <w:right w:w="108" w:type="dxa"/>
          </w:tblCellMar>
        </w:tblPrEx>
        <w:trPr>
          <w:trHeight w:val="783" w:hRule="atLeast"/>
        </w:trPr>
        <w:tc>
          <w:tcPr>
            <w:tcW w:w="1010" w:type="pct"/>
            <w:tcBorders>
              <w:top w:val="single" w:color="000000" w:sz="8" w:space="0"/>
              <w:left w:val="single" w:color="000000" w:sz="8" w:space="0"/>
              <w:bottom w:val="single" w:color="000000" w:sz="8" w:space="0"/>
              <w:right w:val="single" w:color="000000" w:sz="8" w:space="0"/>
            </w:tcBorders>
            <w:vAlign w:val="center"/>
          </w:tcPr>
          <w:p>
            <w:pPr>
              <w:jc w:val="center"/>
              <w:rPr>
                <w:sz w:val="24"/>
              </w:rPr>
            </w:pPr>
            <w:r>
              <w:rPr>
                <w:rFonts w:hint="eastAsia"/>
                <w:sz w:val="24"/>
              </w:rPr>
              <w:t>投标人名称</w:t>
            </w:r>
          </w:p>
        </w:tc>
        <w:tc>
          <w:tcPr>
            <w:tcW w:w="1010" w:type="pct"/>
            <w:tcBorders>
              <w:top w:val="single" w:color="000000" w:sz="8" w:space="0"/>
              <w:left w:val="single" w:color="000000" w:sz="8" w:space="0"/>
              <w:bottom w:val="single" w:color="000000" w:sz="8" w:space="0"/>
              <w:right w:val="single" w:color="000000" w:sz="8" w:space="0"/>
            </w:tcBorders>
            <w:vAlign w:val="center"/>
          </w:tcPr>
          <w:p>
            <w:pPr>
              <w:jc w:val="center"/>
              <w:rPr>
                <w:sz w:val="24"/>
              </w:rPr>
            </w:pPr>
            <w:r>
              <w:rPr>
                <w:rFonts w:hint="eastAsia"/>
                <w:sz w:val="24"/>
              </w:rPr>
              <w:t>性质</w:t>
            </w:r>
          </w:p>
        </w:tc>
        <w:tc>
          <w:tcPr>
            <w:tcW w:w="1916" w:type="pct"/>
            <w:gridSpan w:val="2"/>
            <w:tcBorders>
              <w:top w:val="single" w:color="000000" w:sz="8" w:space="0"/>
              <w:left w:val="single" w:color="000000" w:sz="8" w:space="0"/>
              <w:bottom w:val="single" w:color="000000" w:sz="8" w:space="0"/>
              <w:right w:val="single" w:color="000000" w:sz="8" w:space="0"/>
            </w:tcBorders>
            <w:vAlign w:val="center"/>
          </w:tcPr>
          <w:p>
            <w:pPr>
              <w:jc w:val="center"/>
              <w:rPr>
                <w:sz w:val="24"/>
              </w:rPr>
            </w:pPr>
            <w:r>
              <w:rPr>
                <w:rFonts w:hint="eastAsia"/>
                <w:sz w:val="24"/>
              </w:rPr>
              <w:t>国家企业信用信息公示系统</w:t>
            </w:r>
          </w:p>
        </w:tc>
        <w:tc>
          <w:tcPr>
            <w:tcW w:w="1061" w:type="pct"/>
            <w:vMerge w:val="restart"/>
            <w:tcBorders>
              <w:top w:val="single" w:color="000000" w:sz="8" w:space="0"/>
              <w:left w:val="nil"/>
              <w:right w:val="single" w:color="000000" w:sz="8" w:space="0"/>
            </w:tcBorders>
            <w:vAlign w:val="center"/>
          </w:tcPr>
          <w:p>
            <w:pPr>
              <w:jc w:val="center"/>
              <w:rPr>
                <w:rFonts w:hint="eastAsia" w:eastAsia="宋体"/>
                <w:sz w:val="24"/>
                <w:lang w:eastAsia="zh-CN"/>
              </w:rPr>
            </w:pPr>
            <w:r>
              <w:rPr>
                <w:rFonts w:hint="eastAsia"/>
                <w:sz w:val="24"/>
              </w:rPr>
              <w:t>股权比例</w:t>
            </w:r>
            <w:r>
              <w:rPr>
                <w:rFonts w:hint="eastAsia"/>
                <w:sz w:val="24"/>
                <w:lang w:eastAsia="zh-CN"/>
              </w:rPr>
              <w:t>（</w:t>
            </w:r>
            <w:r>
              <w:rPr>
                <w:rFonts w:hint="eastAsia"/>
                <w:sz w:val="24"/>
                <w:lang w:val="en-US" w:eastAsia="zh-CN"/>
              </w:rPr>
              <w:t>%</w:t>
            </w:r>
            <w:r>
              <w:rPr>
                <w:rFonts w:hint="eastAsia"/>
                <w:sz w:val="24"/>
                <w:lang w:eastAsia="zh-CN"/>
              </w:rPr>
              <w:t>）</w:t>
            </w:r>
          </w:p>
        </w:tc>
      </w:tr>
      <w:tr>
        <w:tblPrEx>
          <w:tblCellMar>
            <w:top w:w="0" w:type="dxa"/>
            <w:left w:w="108" w:type="dxa"/>
            <w:bottom w:w="0" w:type="dxa"/>
            <w:right w:w="108" w:type="dxa"/>
          </w:tblCellMar>
        </w:tblPrEx>
        <w:trPr>
          <w:trHeight w:val="1081" w:hRule="atLeast"/>
        </w:trPr>
        <w:tc>
          <w:tcPr>
            <w:tcW w:w="1010" w:type="pct"/>
            <w:vMerge w:val="restart"/>
            <w:tcBorders>
              <w:top w:val="nil"/>
              <w:left w:val="single" w:color="000000" w:sz="8" w:space="0"/>
              <w:bottom w:val="nil"/>
              <w:right w:val="single" w:color="000000" w:sz="8" w:space="0"/>
            </w:tcBorders>
            <w:vAlign w:val="center"/>
          </w:tcPr>
          <w:p>
            <w:pPr>
              <w:rPr>
                <w:sz w:val="24"/>
              </w:rPr>
            </w:pPr>
          </w:p>
        </w:tc>
        <w:tc>
          <w:tcPr>
            <w:tcW w:w="1010" w:type="pct"/>
            <w:vMerge w:val="restart"/>
            <w:tcBorders>
              <w:top w:val="nil"/>
              <w:left w:val="single" w:color="000000" w:sz="8" w:space="0"/>
              <w:bottom w:val="nil"/>
              <w:right w:val="single" w:color="000000" w:sz="8" w:space="0"/>
            </w:tcBorders>
            <w:vAlign w:val="center"/>
          </w:tcPr>
          <w:p>
            <w:pPr>
              <w:rPr>
                <w:sz w:val="24"/>
              </w:rPr>
            </w:pPr>
            <w:r>
              <w:rPr>
                <w:rFonts w:hint="eastAsia"/>
                <w:sz w:val="24"/>
              </w:rPr>
              <w:t>企业/事业/个人/其他</w:t>
            </w:r>
          </w:p>
        </w:tc>
        <w:tc>
          <w:tcPr>
            <w:tcW w:w="909" w:type="pct"/>
            <w:tcBorders>
              <w:top w:val="nil"/>
              <w:left w:val="single" w:color="000000" w:sz="8" w:space="0"/>
              <w:bottom w:val="single" w:color="000000" w:sz="8" w:space="0"/>
              <w:right w:val="single" w:color="000000" w:sz="8" w:space="0"/>
            </w:tcBorders>
            <w:vAlign w:val="center"/>
          </w:tcPr>
          <w:p>
            <w:pPr>
              <w:jc w:val="center"/>
              <w:rPr>
                <w:sz w:val="24"/>
              </w:rPr>
            </w:pPr>
            <w:r>
              <w:rPr>
                <w:rFonts w:hint="eastAsia"/>
                <w:sz w:val="24"/>
              </w:rPr>
              <w:t>法定代表人/负责人</w:t>
            </w:r>
          </w:p>
        </w:tc>
        <w:tc>
          <w:tcPr>
            <w:tcW w:w="1006" w:type="pct"/>
            <w:tcBorders>
              <w:top w:val="nil"/>
              <w:left w:val="nil"/>
              <w:bottom w:val="single" w:color="000000" w:sz="8" w:space="0"/>
              <w:right w:val="single" w:color="000000" w:sz="8" w:space="0"/>
            </w:tcBorders>
            <w:vAlign w:val="center"/>
          </w:tcPr>
          <w:p>
            <w:pPr>
              <w:jc w:val="center"/>
              <w:rPr>
                <w:sz w:val="24"/>
              </w:rPr>
            </w:pPr>
            <w:r>
              <w:rPr>
                <w:rFonts w:hint="eastAsia"/>
                <w:sz w:val="24"/>
              </w:rPr>
              <w:t>股东</w:t>
            </w:r>
          </w:p>
        </w:tc>
        <w:tc>
          <w:tcPr>
            <w:tcW w:w="1061" w:type="pct"/>
            <w:vMerge w:val="continue"/>
            <w:tcBorders>
              <w:left w:val="nil"/>
              <w:bottom w:val="single" w:color="000000" w:sz="8" w:space="0"/>
              <w:right w:val="single" w:color="000000" w:sz="8" w:space="0"/>
            </w:tcBorders>
          </w:tcPr>
          <w:p>
            <w:pPr>
              <w:rPr>
                <w:sz w:val="24"/>
              </w:rPr>
            </w:pPr>
          </w:p>
        </w:tc>
      </w:tr>
      <w:tr>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pPr>
              <w:rPr>
                <w:sz w:val="24"/>
              </w:rPr>
            </w:pPr>
          </w:p>
        </w:tc>
        <w:tc>
          <w:tcPr>
            <w:tcW w:w="1010" w:type="pct"/>
            <w:vMerge w:val="continue"/>
            <w:tcBorders>
              <w:top w:val="nil"/>
              <w:left w:val="single" w:color="000000" w:sz="8" w:space="0"/>
              <w:bottom w:val="nil"/>
              <w:right w:val="single" w:color="000000" w:sz="8" w:space="0"/>
            </w:tcBorders>
            <w:vAlign w:val="center"/>
          </w:tcPr>
          <w:p>
            <w:pPr>
              <w:rPr>
                <w:sz w:val="24"/>
              </w:rPr>
            </w:pPr>
          </w:p>
        </w:tc>
        <w:tc>
          <w:tcPr>
            <w:tcW w:w="909" w:type="pct"/>
            <w:vMerge w:val="restart"/>
            <w:tcBorders>
              <w:top w:val="nil"/>
              <w:left w:val="single" w:color="000000" w:sz="8" w:space="0"/>
              <w:right w:val="single" w:color="000000" w:sz="8" w:space="0"/>
            </w:tcBorders>
            <w:vAlign w:val="center"/>
          </w:tcPr>
          <w:p>
            <w:pPr>
              <w:rPr>
                <w:sz w:val="24"/>
              </w:rPr>
            </w:pPr>
          </w:p>
        </w:tc>
        <w:tc>
          <w:tcPr>
            <w:tcW w:w="1006" w:type="pct"/>
            <w:tcBorders>
              <w:top w:val="nil"/>
              <w:left w:val="nil"/>
              <w:bottom w:val="single" w:color="000000" w:sz="8" w:space="0"/>
              <w:right w:val="single" w:color="000000" w:sz="8" w:space="0"/>
            </w:tcBorders>
            <w:vAlign w:val="center"/>
          </w:tcPr>
          <w:p>
            <w:pPr>
              <w:rPr>
                <w:sz w:val="24"/>
              </w:rPr>
            </w:pPr>
          </w:p>
        </w:tc>
        <w:tc>
          <w:tcPr>
            <w:tcW w:w="1061" w:type="pct"/>
            <w:tcBorders>
              <w:top w:val="nil"/>
              <w:left w:val="nil"/>
              <w:bottom w:val="single" w:color="000000" w:sz="8" w:space="0"/>
              <w:right w:val="single" w:color="000000" w:sz="8" w:space="0"/>
            </w:tcBorders>
            <w:vAlign w:val="center"/>
          </w:tcPr>
          <w:p>
            <w:pPr>
              <w:rPr>
                <w:sz w:val="24"/>
              </w:rPr>
            </w:pPr>
          </w:p>
        </w:tc>
      </w:tr>
      <w:tr>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pPr>
              <w:rPr>
                <w:sz w:val="24"/>
              </w:rPr>
            </w:pPr>
          </w:p>
        </w:tc>
        <w:tc>
          <w:tcPr>
            <w:tcW w:w="1010" w:type="pct"/>
            <w:vMerge w:val="continue"/>
            <w:tcBorders>
              <w:top w:val="nil"/>
              <w:left w:val="single" w:color="000000" w:sz="8" w:space="0"/>
              <w:bottom w:val="nil"/>
              <w:right w:val="single" w:color="000000" w:sz="8" w:space="0"/>
            </w:tcBorders>
            <w:vAlign w:val="center"/>
          </w:tcPr>
          <w:p>
            <w:pPr>
              <w:rPr>
                <w:sz w:val="24"/>
              </w:rPr>
            </w:pPr>
          </w:p>
        </w:tc>
        <w:tc>
          <w:tcPr>
            <w:tcW w:w="909" w:type="pct"/>
            <w:vMerge w:val="continue"/>
            <w:tcBorders>
              <w:left w:val="single" w:color="000000" w:sz="8" w:space="0"/>
              <w:right w:val="single" w:color="000000" w:sz="8" w:space="0"/>
            </w:tcBorders>
            <w:vAlign w:val="center"/>
          </w:tcPr>
          <w:p>
            <w:pPr>
              <w:rPr>
                <w:sz w:val="24"/>
              </w:rPr>
            </w:pPr>
          </w:p>
        </w:tc>
        <w:tc>
          <w:tcPr>
            <w:tcW w:w="1006" w:type="pct"/>
            <w:tcBorders>
              <w:top w:val="nil"/>
              <w:left w:val="nil"/>
              <w:bottom w:val="single" w:color="000000" w:sz="8" w:space="0"/>
              <w:right w:val="single" w:color="000000" w:sz="8" w:space="0"/>
            </w:tcBorders>
            <w:vAlign w:val="center"/>
          </w:tcPr>
          <w:p>
            <w:pPr>
              <w:rPr>
                <w:sz w:val="24"/>
              </w:rPr>
            </w:pPr>
          </w:p>
        </w:tc>
        <w:tc>
          <w:tcPr>
            <w:tcW w:w="1061" w:type="pct"/>
            <w:tcBorders>
              <w:top w:val="nil"/>
              <w:left w:val="nil"/>
              <w:bottom w:val="single" w:color="000000" w:sz="8" w:space="0"/>
              <w:right w:val="single" w:color="000000" w:sz="8" w:space="0"/>
            </w:tcBorders>
            <w:vAlign w:val="center"/>
          </w:tcPr>
          <w:p>
            <w:pPr>
              <w:rPr>
                <w:sz w:val="24"/>
              </w:rPr>
            </w:pPr>
          </w:p>
        </w:tc>
      </w:tr>
      <w:tr>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pPr>
              <w:rPr>
                <w:sz w:val="24"/>
              </w:rPr>
            </w:pPr>
          </w:p>
        </w:tc>
        <w:tc>
          <w:tcPr>
            <w:tcW w:w="1010" w:type="pct"/>
            <w:vMerge w:val="continue"/>
            <w:tcBorders>
              <w:top w:val="nil"/>
              <w:left w:val="single" w:color="000000" w:sz="8" w:space="0"/>
              <w:bottom w:val="nil"/>
              <w:right w:val="single" w:color="000000" w:sz="8" w:space="0"/>
            </w:tcBorders>
            <w:vAlign w:val="center"/>
          </w:tcPr>
          <w:p>
            <w:pPr>
              <w:rPr>
                <w:sz w:val="24"/>
              </w:rPr>
            </w:pPr>
          </w:p>
        </w:tc>
        <w:tc>
          <w:tcPr>
            <w:tcW w:w="909" w:type="pct"/>
            <w:vMerge w:val="continue"/>
            <w:tcBorders>
              <w:left w:val="single" w:color="000000" w:sz="8" w:space="0"/>
              <w:bottom w:val="nil"/>
              <w:right w:val="single" w:color="000000" w:sz="8" w:space="0"/>
            </w:tcBorders>
            <w:vAlign w:val="center"/>
          </w:tcPr>
          <w:p>
            <w:pPr>
              <w:rPr>
                <w:sz w:val="24"/>
              </w:rPr>
            </w:pPr>
          </w:p>
        </w:tc>
        <w:tc>
          <w:tcPr>
            <w:tcW w:w="1006" w:type="pct"/>
            <w:tcBorders>
              <w:top w:val="nil"/>
              <w:left w:val="nil"/>
              <w:bottom w:val="nil"/>
              <w:right w:val="single" w:color="000000" w:sz="8" w:space="0"/>
            </w:tcBorders>
            <w:vAlign w:val="center"/>
          </w:tcPr>
          <w:p>
            <w:pPr>
              <w:rPr>
                <w:sz w:val="24"/>
              </w:rPr>
            </w:pPr>
            <w:r>
              <w:rPr>
                <w:rFonts w:hint="eastAsia"/>
                <w:sz w:val="24"/>
              </w:rPr>
              <w:t>…</w:t>
            </w:r>
          </w:p>
        </w:tc>
        <w:tc>
          <w:tcPr>
            <w:tcW w:w="1061" w:type="pct"/>
            <w:tcBorders>
              <w:top w:val="nil"/>
              <w:left w:val="nil"/>
              <w:bottom w:val="nil"/>
              <w:right w:val="single" w:color="000000" w:sz="8" w:space="0"/>
            </w:tcBorders>
            <w:noWrap/>
            <w:vAlign w:val="center"/>
          </w:tcPr>
          <w:p>
            <w:pPr>
              <w:rPr>
                <w:sz w:val="24"/>
              </w:rPr>
            </w:pPr>
            <w:r>
              <w:rPr>
                <w:rFonts w:hint="eastAsia"/>
                <w:sz w:val="24"/>
              </w:rPr>
              <w:t>…</w:t>
            </w:r>
          </w:p>
        </w:tc>
      </w:tr>
      <w:tr>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pPr>
              <w:rPr>
                <w:sz w:val="24"/>
              </w:rPr>
            </w:pPr>
            <w:r>
              <w:rPr>
                <w:rFonts w:hint="eastAsia"/>
                <w:sz w:val="24"/>
              </w:rPr>
              <w:t>备注：本表内容须根据投标人性质如实填写，表内“/”为选择内容，请删除与投标人性质无关的选项。</w:t>
            </w:r>
          </w:p>
        </w:tc>
      </w:tr>
    </w:tbl>
    <w:p>
      <w:pPr>
        <w:pStyle w:val="3"/>
        <w:rPr>
          <w:color w:val="auto"/>
        </w:rPr>
      </w:pPr>
    </w:p>
    <w:p>
      <w:pPr>
        <w:rPr>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
      <w:pPr>
        <w:spacing w:line="360" w:lineRule="atLeast"/>
      </w:pPr>
    </w:p>
    <w:p>
      <w:pPr>
        <w:spacing w:line="360" w:lineRule="atLeast"/>
        <w:jc w:val="center"/>
      </w:pPr>
      <w:r>
        <w:br w:type="page"/>
      </w:r>
    </w:p>
    <w:p>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jc w:val="left"/>
        <w:rPr>
          <w:rFonts w:ascii="宋体" w:hAnsi="宋体"/>
          <w:sz w:val="24"/>
        </w:rPr>
      </w:pPr>
      <w:r>
        <w:rPr>
          <w:rFonts w:hint="eastAsia" w:ascii="宋体" w:hAnsi="宋体"/>
          <w:sz w:val="24"/>
        </w:rPr>
        <w:t xml:space="preserve">      </w:t>
      </w:r>
    </w:p>
    <w:p>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pPr>
        <w:pStyle w:val="3"/>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spacing w:line="360" w:lineRule="atLeast"/>
        <w:jc w:val="center"/>
      </w:pPr>
    </w:p>
    <w:p>
      <w:pPr>
        <w:widowControl/>
        <w:spacing w:line="240" w:lineRule="auto"/>
        <w:jc w:val="left"/>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NjU3ZjZiMThlY2Y5NTBhZmNkMzIwZjQ0NDYzZTUifQ=="/>
    <w:docVar w:name="KSO_WPS_MARK_KEY" w:val="02ea9c88-873c-4501-a2a9-f9d3b2771450"/>
  </w:docVars>
  <w:rsids>
    <w:rsidRoot w:val="3DAE17FE"/>
    <w:rsid w:val="0010303A"/>
    <w:rsid w:val="00347CE2"/>
    <w:rsid w:val="005214F3"/>
    <w:rsid w:val="006D5669"/>
    <w:rsid w:val="007C70C5"/>
    <w:rsid w:val="008D5E23"/>
    <w:rsid w:val="0099099F"/>
    <w:rsid w:val="00AE111C"/>
    <w:rsid w:val="00B813EA"/>
    <w:rsid w:val="00ED2531"/>
    <w:rsid w:val="06366F00"/>
    <w:rsid w:val="0E2D1AB8"/>
    <w:rsid w:val="10802373"/>
    <w:rsid w:val="2AE80DE9"/>
    <w:rsid w:val="31D125D7"/>
    <w:rsid w:val="3DAE17FE"/>
    <w:rsid w:val="43F87FF0"/>
    <w:rsid w:val="46454EEA"/>
    <w:rsid w:val="475F1FDB"/>
    <w:rsid w:val="478A7058"/>
    <w:rsid w:val="711C50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link w:val="1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character" w:customStyle="1" w:styleId="11">
    <w:name w:val="纯文本 Char"/>
    <w:link w:val="4"/>
    <w:qFormat/>
    <w:locked/>
    <w:uiPriority w:val="99"/>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3177</Words>
  <Characters>3206</Characters>
  <Lines>31</Lines>
  <Paragraphs>8</Paragraphs>
  <TotalTime>1</TotalTime>
  <ScaleCrop>false</ScaleCrop>
  <LinksUpToDate>false</LinksUpToDate>
  <CharactersWithSpaces>4149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-7</cp:lastModifiedBy>
  <dcterms:modified xsi:type="dcterms:W3CDTF">2025-06-10T07:46:02Z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54B67335D90147DB8EE9DC5C8BF71E0A_11</vt:lpwstr>
  </property>
  <property fmtid="{D5CDD505-2E9C-101B-9397-08002B2CF9AE}" pid="4" name="KSOTemplateDocerSaveRecord">
    <vt:lpwstr>eyJoZGlkIjoiOGZmM2IzZjBiMjM2MzUxZDgyNGJiNzA3NDAyNTlkNDUiLCJ1c2VySWQiOiI0NTE5NDQwNTQifQ==</vt:lpwstr>
  </property>
</Properties>
</file>