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版本号：QH2025-CS-04420250902001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危险化学品重大危险源企业风险监测预警系统、烟花爆竹风险监测预警系统、双重预防机制数字化系统的日常监控及双预防数字化企业端运维技术协作项目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QH2025-CS-044</w:t>
      </w:r>
      <w:r>
        <w:br/>
      </w:r>
      <w:r>
        <w:br/>
      </w:r>
      <w:r>
        <w:br/>
      </w:r>
    </w:p>
    <w:p>
      <w:pPr>
        <w:pStyle w:val="null3"/>
        <w:jc w:val="center"/>
        <w:outlineLvl w:val="2"/>
      </w:pPr>
      <w:r>
        <w:rPr>
          <w:rFonts w:ascii="仿宋_GB2312" w:hAnsi="仿宋_GB2312" w:cs="仿宋_GB2312" w:eastAsia="仿宋_GB2312"/>
          <w:sz w:val="28"/>
          <w:b/>
        </w:rPr>
        <w:t>陕西省安全生产科学技术中心</w:t>
      </w:r>
    </w:p>
    <w:p>
      <w:pPr>
        <w:pStyle w:val="null3"/>
        <w:jc w:val="center"/>
        <w:outlineLvl w:val="2"/>
      </w:pPr>
      <w:r>
        <w:rPr>
          <w:rFonts w:ascii="仿宋_GB2312" w:hAnsi="仿宋_GB2312" w:cs="仿宋_GB2312" w:eastAsia="仿宋_GB2312"/>
          <w:sz w:val="28"/>
          <w:b/>
        </w:rPr>
        <w:t>陕西启航项目管理咨询有限公司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陕西启航项目管理咨询有限公司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陕西省安全生产科学技术中心</w:t>
      </w:r>
      <w:r>
        <w:rPr>
          <w:rFonts w:ascii="仿宋_GB2312" w:hAnsi="仿宋_GB2312" w:cs="仿宋_GB2312" w:eastAsia="仿宋_GB2312"/>
        </w:rPr>
        <w:t>委托，拟对</w:t>
      </w:r>
      <w:r>
        <w:rPr>
          <w:rFonts w:ascii="仿宋_GB2312" w:hAnsi="仿宋_GB2312" w:cs="仿宋_GB2312" w:eastAsia="仿宋_GB2312"/>
        </w:rPr>
        <w:t>危险化学品重大危险源企业风险监测预警系统、烟花爆竹风险监测预警系统、双重预防机制数字化系统的日常监控及双预防数字化企业端运维技术协作项目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QH2025-CS-044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危险化学品重大危险源企业风险监测预警系统、烟花爆竹风险监测预警系统、双重预防机制数字化系统的日常监控及双预防数字化企业端运维技术协作项目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深入贯彻落实《2025年全省危险化学品安全监管专项工作实施方案》要求，进一步提升危险化学品安全监管的数字化、智能化水平，保障信息系统持续稳定、高效运行，充分发挥信息系统在危化品全流程监管中的重要作用，现需开展危险化学品重大危险源企业安全生产风险监测预警系统、烟花爆竹企业安全风险监测预警系统、危险化学品重大危险源企业双重预防机制数字化系统的日常监控及双预防数字化企业端运维技术协作项目工作。信息系统是实现安全监管精细化、动态化的关键技术支撑，随着监管工作的不断推进和业务需求的日益增长，系统面临数据量激增、功能迭代需求增加等挑战，亟需专业团队提供运维保障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采购包1（危险化学品重大危险源企业风险监测预警系统、烟花爆竹风险监测预警系统、双重预防机制数字化系统的日常监控及双预防数字化企业端运维技术协作项目）：属于专门面向中小企业采购。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1、营业执照：提供合格有效的法人或者其他组织的营业执照等证明文件，自然人的身份证明</w:t>
      </w:r>
    </w:p>
    <w:p>
      <w:pPr>
        <w:pStyle w:val="null3"/>
      </w:pPr>
      <w:r>
        <w:rPr>
          <w:rFonts w:ascii="仿宋_GB2312" w:hAnsi="仿宋_GB2312" w:cs="仿宋_GB2312" w:eastAsia="仿宋_GB2312"/>
        </w:rPr>
        <w:t>2、法定代表人授权书或法定代表人身份证明：提供法定代表人授权书（附法定代表人、被授权人身份证复印件），法定代表人直接参加的，须提供法定代表人身份证明及身份证复印件</w:t>
      </w:r>
    </w:p>
    <w:p>
      <w:pPr>
        <w:pStyle w:val="null3"/>
      </w:pPr>
      <w:r>
        <w:rPr>
          <w:rFonts w:ascii="仿宋_GB2312" w:hAnsi="仿宋_GB2312" w:cs="仿宋_GB2312" w:eastAsia="仿宋_GB2312"/>
        </w:rPr>
        <w:t>3、财务状况：提供2024年度经审计完整的财务审计报告，内容至少包括资产负债表、利润表、现金流量表及附注（成立时间至提交响应文件截止时间不足一年的可提供成立后任意时段的资产负债表）或磋商时间前六个月内银行出具的资信证明</w:t>
      </w:r>
    </w:p>
    <w:p>
      <w:pPr>
        <w:pStyle w:val="null3"/>
      </w:pPr>
      <w:r>
        <w:rPr>
          <w:rFonts w:ascii="仿宋_GB2312" w:hAnsi="仿宋_GB2312" w:cs="仿宋_GB2312" w:eastAsia="仿宋_GB2312"/>
        </w:rPr>
        <w:t>4、税收缴纳证明：提供磋商截止日前近一年内任意一个月的纳税证明或完税证明（任意税种），依法免税的单位应提供相关证明材料</w:t>
      </w:r>
    </w:p>
    <w:p>
      <w:pPr>
        <w:pStyle w:val="null3"/>
      </w:pPr>
      <w:r>
        <w:rPr>
          <w:rFonts w:ascii="仿宋_GB2312" w:hAnsi="仿宋_GB2312" w:cs="仿宋_GB2312" w:eastAsia="仿宋_GB2312"/>
        </w:rPr>
        <w:t>5、社会保障资金缴纳证明：提供磋商截止日前一年内已缴存的至少一个月的社会保障资金缴存单据或社保机构开具的社会保险参保缴费情况证明，依法不需要缴纳社会保障资金的单位应提供相关证明材料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6、信用查询：供应商通过“信用中国”网站(www.creditchina.gov.cn)、中国政府采购网(www.ccgp.gov.cn)等查询相关主体信用记录</w:t>
      </w:r>
    </w:p>
    <w:p>
      <w:pPr>
        <w:pStyle w:val="null3"/>
      </w:pPr>
      <w:r>
        <w:rPr>
          <w:rFonts w:ascii="仿宋_GB2312" w:hAnsi="仿宋_GB2312" w:cs="仿宋_GB2312" w:eastAsia="仿宋_GB2312"/>
        </w:rPr>
        <w:t>7、书面声明：参加政府采购活动前3年内，在经营活动中没有重大违法记录的书面声明</w:t>
      </w:r>
    </w:p>
    <w:p>
      <w:pPr>
        <w:pStyle w:val="null3"/>
      </w:pPr>
      <w:r>
        <w:rPr>
          <w:rFonts w:ascii="仿宋_GB2312" w:hAnsi="仿宋_GB2312" w:cs="仿宋_GB2312" w:eastAsia="仿宋_GB2312"/>
        </w:rPr>
        <w:t>8、承诺书：提供具有履行合同所必需的设备和专业技术能力的书面承诺</w:t>
      </w:r>
    </w:p>
    <w:p>
      <w:pPr>
        <w:pStyle w:val="null3"/>
      </w:pPr>
      <w:r>
        <w:rPr>
          <w:rFonts w:ascii="仿宋_GB2312" w:hAnsi="仿宋_GB2312" w:cs="仿宋_GB2312" w:eastAsia="仿宋_GB2312"/>
        </w:rPr>
        <w:t>9、中小企业声明函：供应商提供中小企业声明函</w:t>
      </w:r>
    </w:p>
    <w:p>
      <w:pPr>
        <w:pStyle w:val="null3"/>
      </w:pPr>
      <w:r>
        <w:rPr>
          <w:rFonts w:ascii="仿宋_GB2312" w:hAnsi="仿宋_GB2312" w:cs="仿宋_GB2312" w:eastAsia="仿宋_GB2312"/>
        </w:rPr>
        <w:t>10、非联合体承诺：本项目不接受联合体磋商（提供承诺书）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陕西省安全生产科学技术中心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西安市和平路东十一道巷6号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刘花维</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029-88610519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陕西启航项目管理咨询有限公司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陕西省西安市雁塔区高新路25号瑞欣大厦6楼B户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高俊峰、杨思佳、尹紫涵</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029-89182979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颁发的《招标代理服务收费管理暂行办法》（计价格[2002]1980号）和国家发展和改革委员会办公厅颁发的《关于招标代理服务收费有关问题的通知》（发改办价格[2003]857号）的有关规定执行，代理服务费不足3000元按3000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陕西省安全生产科学技术中心</w:t>
      </w:r>
      <w:r>
        <w:rPr>
          <w:rFonts w:ascii="仿宋_GB2312" w:hAnsi="仿宋_GB2312" w:cs="仿宋_GB2312" w:eastAsia="仿宋_GB2312"/>
        </w:rPr>
        <w:t>和</w:t>
      </w:r>
      <w:r>
        <w:rPr>
          <w:rFonts w:ascii="仿宋_GB2312" w:hAnsi="仿宋_GB2312" w:cs="仿宋_GB2312" w:eastAsia="仿宋_GB2312"/>
        </w:rPr>
        <w:t>陕西启航项目管理咨询有限公司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陕西省安全生产科学技术中心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陕西启航项目管理咨询有限公司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陕西省安全生产科学技术中心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陕西启航项目管理咨询有限公司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陕西启航项目管理咨询有限公司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陕西启航项目管理咨询有限公司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陕西启航项目管理咨询有限公司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联系人：高俊峰、杨思佳、尹紫涵</w:t>
      </w:r>
    </w:p>
    <w:p>
      <w:pPr>
        <w:pStyle w:val="null3"/>
      </w:pPr>
      <w:r>
        <w:rPr>
          <w:rFonts w:ascii="仿宋_GB2312" w:hAnsi="仿宋_GB2312" w:cs="仿宋_GB2312" w:eastAsia="仿宋_GB2312"/>
        </w:rPr>
        <w:t>联系电话：029-89182979</w:t>
      </w:r>
    </w:p>
    <w:p>
      <w:pPr>
        <w:pStyle w:val="null3"/>
      </w:pPr>
      <w:r>
        <w:rPr>
          <w:rFonts w:ascii="仿宋_GB2312" w:hAnsi="仿宋_GB2312" w:cs="仿宋_GB2312" w:eastAsia="仿宋_GB2312"/>
        </w:rPr>
        <w:t>地址：陕西省西安市雁塔区高新路25号瑞欣大厦6楼B户</w:t>
      </w:r>
    </w:p>
    <w:p>
      <w:pPr>
        <w:pStyle w:val="null3"/>
      </w:pPr>
      <w:r>
        <w:rPr>
          <w:rFonts w:ascii="仿宋_GB2312" w:hAnsi="仿宋_GB2312" w:cs="仿宋_GB2312" w:eastAsia="仿宋_GB2312"/>
        </w:rPr>
        <w:t>邮编：710021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深入贯彻落实《2025年全省危险化学品安全监管专项工作实施方案》要求，进一步提升危险化学品安全监管的数字化、智能化水平，保障信息系统持续稳定、高效运行，充分发挥信息系统在危化品全流程监管中的重要作用，现需开展危险化学品重大危险源企业风险监测预警系统、烟花爆竹风险监测预警系统、双重预防机制数字化系统的日常监控及双预防数字化企业端运维技术协作项目工作。信息系统是实现安全监管精细化、动态化的关键技术支撑，随着监管工作的不断推进和业务需求的日益增长，系统面临数据量激增、功能迭代需求增加等挑战，亟需专业团队提供运维保障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1,150,000.00</w:t>
      </w:r>
    </w:p>
    <w:p>
      <w:pPr>
        <w:pStyle w:val="null3"/>
      </w:pPr>
      <w:r>
        <w:rPr>
          <w:rFonts w:ascii="仿宋_GB2312" w:hAnsi="仿宋_GB2312" w:cs="仿宋_GB2312" w:eastAsia="仿宋_GB2312"/>
        </w:rPr>
        <w:t>采购包最高限价（元）: 1,150,000.00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危险化学品重大危险源企业风险监测预警系统、烟花爆竹风险监测预警系统、双重预防机制数字化系统的日常监控 及双预防数字化企业端运维技术协作项目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标的名称：危险化学品重大危险源企业风险监测预警系统、烟花爆竹风险监测预警系统、双重预防机制数字化系统的日常监控 及双预防数字化企业端运维技术协作项目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0"/>
            </w:pPr>
            <w:r>
              <w:rPr>
                <w:rFonts w:ascii="仿宋_GB2312" w:hAnsi="仿宋_GB2312" w:cs="仿宋_GB2312" w:eastAsia="仿宋_GB2312"/>
                <w:sz w:val="21"/>
                <w:b/>
              </w:rPr>
              <w:t>一、项目概述</w:t>
            </w:r>
          </w:p>
          <w:p>
            <w:pPr>
              <w:pStyle w:val="null3"/>
              <w:ind w:firstLine="480"/>
              <w:jc w:val="both"/>
            </w:pPr>
            <w:r>
              <w:rPr>
                <w:rFonts w:ascii="仿宋_GB2312" w:hAnsi="仿宋_GB2312" w:cs="仿宋_GB2312" w:eastAsia="仿宋_GB2312"/>
                <w:sz w:val="21"/>
              </w:rPr>
              <w:t>为深入贯彻落实《</w:t>
            </w:r>
            <w:r>
              <w:rPr>
                <w:rFonts w:ascii="仿宋_GB2312" w:hAnsi="仿宋_GB2312" w:cs="仿宋_GB2312" w:eastAsia="仿宋_GB2312"/>
                <w:sz w:val="21"/>
              </w:rPr>
              <w:t>2025年全省危险化学品安全监管专项工作实施方案》要求，进一步提升危险化学品安全监管的数字化、智能化水平，保障信息系统持续稳定、高效运行，充分发挥信息系统在危化品全流程监管中的重要作用，现需开展危险化学品重大危险源企业</w:t>
            </w:r>
            <w:r>
              <w:rPr>
                <w:rFonts w:ascii="仿宋_GB2312" w:hAnsi="仿宋_GB2312" w:cs="仿宋_GB2312" w:eastAsia="仿宋_GB2312"/>
                <w:sz w:val="21"/>
              </w:rPr>
              <w:t>安全生产</w:t>
            </w:r>
            <w:r>
              <w:rPr>
                <w:rFonts w:ascii="仿宋_GB2312" w:hAnsi="仿宋_GB2312" w:cs="仿宋_GB2312" w:eastAsia="仿宋_GB2312"/>
                <w:sz w:val="21"/>
              </w:rPr>
              <w:t>风险监测预警系统、烟花爆竹</w:t>
            </w:r>
            <w:r>
              <w:rPr>
                <w:rFonts w:ascii="仿宋_GB2312" w:hAnsi="仿宋_GB2312" w:cs="仿宋_GB2312" w:eastAsia="仿宋_GB2312"/>
                <w:sz w:val="21"/>
              </w:rPr>
              <w:t>企业安全</w:t>
            </w:r>
            <w:r>
              <w:rPr>
                <w:rFonts w:ascii="仿宋_GB2312" w:hAnsi="仿宋_GB2312" w:cs="仿宋_GB2312" w:eastAsia="仿宋_GB2312"/>
                <w:sz w:val="21"/>
              </w:rPr>
              <w:t>风险监测预警系统、危险化学品重大危险源企业双重预防机制数字化系统的日常监控及双预防数字化企业端运维技术协作项目工作。信息系统是实现安全监管精细化、动态化的关键技术支撑，随着监管工作的不断推进和业务需求的日益增长，系统面临数据量激增、功能迭代需求增加等挑战，亟需专业团队提供运维保障服务。</w:t>
            </w:r>
          </w:p>
          <w:p>
            <w:pPr>
              <w:pStyle w:val="null3"/>
              <w:jc w:val="both"/>
              <w:outlineLvl w:val="0"/>
            </w:pPr>
            <w:r>
              <w:rPr>
                <w:rFonts w:ascii="仿宋_GB2312" w:hAnsi="仿宋_GB2312" w:cs="仿宋_GB2312" w:eastAsia="仿宋_GB2312"/>
                <w:sz w:val="21"/>
                <w:b/>
              </w:rPr>
              <w:t>二、服务内容</w:t>
            </w:r>
          </w:p>
          <w:p>
            <w:pPr>
              <w:pStyle w:val="null3"/>
              <w:spacing w:before="255" w:after="255"/>
              <w:ind w:left="285"/>
              <w:jc w:val="left"/>
              <w:outlineLvl w:val="1"/>
            </w:pPr>
            <w:r>
              <w:rPr>
                <w:rFonts w:ascii="仿宋_GB2312" w:hAnsi="仿宋_GB2312" w:cs="仿宋_GB2312" w:eastAsia="仿宋_GB2312"/>
                <w:sz w:val="21"/>
                <w:b/>
              </w:rPr>
              <w:t>（</w:t>
            </w:r>
            <w:r>
              <w:rPr>
                <w:rFonts w:ascii="仿宋_GB2312" w:hAnsi="仿宋_GB2312" w:cs="仿宋_GB2312" w:eastAsia="仿宋_GB2312"/>
                <w:sz w:val="21"/>
                <w:b/>
              </w:rPr>
              <w:t>一</w:t>
            </w:r>
            <w:r>
              <w:rPr>
                <w:rFonts w:ascii="仿宋_GB2312" w:hAnsi="仿宋_GB2312" w:cs="仿宋_GB2312" w:eastAsia="仿宋_GB2312"/>
                <w:sz w:val="21"/>
                <w:b/>
              </w:rPr>
              <w:t>）</w:t>
            </w:r>
            <w:r>
              <w:rPr>
                <w:rFonts w:ascii="仿宋_GB2312" w:hAnsi="仿宋_GB2312" w:cs="仿宋_GB2312" w:eastAsia="仿宋_GB2312"/>
                <w:sz w:val="21"/>
                <w:b/>
              </w:rPr>
              <w:t>日常监控</w:t>
            </w:r>
            <w:r>
              <w:rPr>
                <w:rFonts w:ascii="仿宋_GB2312" w:hAnsi="仿宋_GB2312" w:cs="仿宋_GB2312" w:eastAsia="仿宋_GB2312"/>
                <w:sz w:val="21"/>
                <w:b/>
              </w:rPr>
              <w:t>及工作报告编制</w:t>
            </w:r>
          </w:p>
          <w:p>
            <w:pPr>
              <w:pStyle w:val="null3"/>
              <w:ind w:firstLine="480"/>
              <w:jc w:val="both"/>
            </w:pPr>
            <w:r>
              <w:rPr>
                <w:rFonts w:ascii="仿宋_GB2312" w:hAnsi="仿宋_GB2312" w:cs="仿宋_GB2312" w:eastAsia="仿宋_GB2312"/>
                <w:sz w:val="21"/>
              </w:rPr>
              <w:t>开展危险化学品重大危险源企业</w:t>
            </w:r>
            <w:r>
              <w:rPr>
                <w:rFonts w:ascii="仿宋_GB2312" w:hAnsi="仿宋_GB2312" w:cs="仿宋_GB2312" w:eastAsia="仿宋_GB2312"/>
                <w:sz w:val="21"/>
              </w:rPr>
              <w:t>安全生产</w:t>
            </w:r>
            <w:r>
              <w:rPr>
                <w:rFonts w:ascii="仿宋_GB2312" w:hAnsi="仿宋_GB2312" w:cs="仿宋_GB2312" w:eastAsia="仿宋_GB2312"/>
                <w:sz w:val="21"/>
              </w:rPr>
              <w:t>风险监测预警系统、烟花爆竹</w:t>
            </w:r>
            <w:r>
              <w:rPr>
                <w:rFonts w:ascii="仿宋_GB2312" w:hAnsi="仿宋_GB2312" w:cs="仿宋_GB2312" w:eastAsia="仿宋_GB2312"/>
                <w:sz w:val="21"/>
              </w:rPr>
              <w:t>企业安全</w:t>
            </w:r>
            <w:r>
              <w:rPr>
                <w:rFonts w:ascii="仿宋_GB2312" w:hAnsi="仿宋_GB2312" w:cs="仿宋_GB2312" w:eastAsia="仿宋_GB2312"/>
                <w:sz w:val="21"/>
              </w:rPr>
              <w:t>风险监测预警系统、危险化学品重大危险源企业双重预防机制数字化系统巡检工作，每日巡检企业监测数据在线情况、视频监控在线情况、安全承诺公告情况、警示通报反馈情况，编制危险化学品安全生产风险监测预警系统巡检日报、月报。每周巡检企业双重预防机制运行质效，对运行效果中、差的企业开展运行效果诊断，指导企业有针对性的进行问题整改，对整改情况进行追踪，保证运行效果在下个周期运行优良，编制双重预防机制运行周报。</w:t>
            </w:r>
          </w:p>
          <w:p>
            <w:pPr>
              <w:pStyle w:val="null3"/>
              <w:spacing w:before="255" w:after="255"/>
              <w:ind w:left="285"/>
              <w:jc w:val="left"/>
              <w:outlineLvl w:val="1"/>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）数据质量治理</w:t>
            </w:r>
            <w:r>
              <w:rPr>
                <w:rFonts w:ascii="仿宋_GB2312" w:hAnsi="仿宋_GB2312" w:cs="仿宋_GB2312" w:eastAsia="仿宋_GB2312"/>
                <w:sz w:val="21"/>
                <w:b/>
              </w:rPr>
              <w:t>及工作报告编制</w:t>
            </w:r>
          </w:p>
          <w:p>
            <w:pPr>
              <w:pStyle w:val="null3"/>
              <w:ind w:firstLine="480"/>
              <w:jc w:val="both"/>
            </w:pPr>
            <w:r>
              <w:rPr>
                <w:rFonts w:ascii="仿宋_GB2312" w:hAnsi="仿宋_GB2312" w:cs="仿宋_GB2312" w:eastAsia="仿宋_GB2312"/>
                <w:sz w:val="21"/>
              </w:rPr>
              <w:t>开展危险化学品安全生产风险监测预警系统基础数据治理，重点治理企业边界未描绘、罐</w:t>
            </w:r>
            <w:r>
              <w:rPr>
                <w:rFonts w:ascii="仿宋_GB2312" w:hAnsi="仿宋_GB2312" w:cs="仿宋_GB2312" w:eastAsia="仿宋_GB2312"/>
                <w:sz w:val="21"/>
              </w:rPr>
              <w:t>/装置/库/气体检测点/视频监控点点位未标注、罐/装置/气体检测点填报准确性、视频监控接入不全、视频监控信息填报有误等问题。开展监测数据治理，按照《危险化学品安全生产风险监测预警系统数据接入规范（扩展2021年建设任务数据交换要求）》相关要求，对企业重大危险源储罐、重点监管的危险化工工艺装置、厂区可燃/有毒气体泄漏、重大危险源仓库、危险化学品装卸区部位进行接入数据核实，重点解决实际接入数据点位少，报警阈值与设计文件不符等问题。</w:t>
            </w:r>
          </w:p>
          <w:p>
            <w:pPr>
              <w:pStyle w:val="null3"/>
              <w:ind w:firstLine="480"/>
              <w:jc w:val="both"/>
            </w:pPr>
            <w:r>
              <w:rPr>
                <w:rFonts w:ascii="仿宋_GB2312" w:hAnsi="仿宋_GB2312" w:cs="仿宋_GB2312" w:eastAsia="仿宋_GB2312"/>
                <w:sz w:val="21"/>
              </w:rPr>
              <w:t>开展危险化学品重大危险源企业双重预防机制数据治理，对数据上传不规范的企业进行通报并督促整改落实。企业上报数据与危险化学品安全生产风险监测预警系统数据进行核对，确保企业端上报政府端数据一致性。数据治理内容包括但不限于分析数据质量</w:t>
            </w:r>
            <w:r>
              <w:rPr>
                <w:rFonts w:ascii="仿宋_GB2312" w:hAnsi="仿宋_GB2312" w:cs="仿宋_GB2312" w:eastAsia="仿宋_GB2312"/>
                <w:sz w:val="21"/>
              </w:rPr>
              <w:t>、</w:t>
            </w:r>
            <w:r>
              <w:rPr>
                <w:rFonts w:ascii="仿宋_GB2312" w:hAnsi="仿宋_GB2312" w:cs="仿宋_GB2312" w:eastAsia="仿宋_GB2312"/>
                <w:sz w:val="21"/>
              </w:rPr>
              <w:t>清理字段内容为空、格式不标准、关联关系缺失、内容重复等无效、错误数据。</w:t>
            </w:r>
          </w:p>
          <w:p>
            <w:pPr>
              <w:pStyle w:val="null3"/>
              <w:spacing w:before="255" w:after="255"/>
              <w:ind w:left="285"/>
              <w:jc w:val="left"/>
              <w:outlineLvl w:val="1"/>
            </w:pPr>
            <w:r>
              <w:rPr>
                <w:rFonts w:ascii="仿宋_GB2312" w:hAnsi="仿宋_GB2312" w:cs="仿宋_GB2312" w:eastAsia="仿宋_GB2312"/>
                <w:sz w:val="21"/>
                <w:b/>
              </w:rPr>
              <w:t>（三）专项工作支撑</w:t>
            </w:r>
          </w:p>
          <w:p>
            <w:pPr>
              <w:pStyle w:val="null3"/>
              <w:ind w:firstLine="480"/>
              <w:jc w:val="both"/>
            </w:pPr>
            <w:r>
              <w:rPr>
                <w:rFonts w:ascii="仿宋_GB2312" w:hAnsi="仿宋_GB2312" w:cs="仿宋_GB2312" w:eastAsia="仿宋_GB2312"/>
                <w:sz w:val="21"/>
              </w:rPr>
              <w:t>配合开展双重预防机制政府专项检查企业隐患录入情况统计、细分领域专家指导服务企业隐患录入情况统计等专项工作。配合完成特殊作业审批与作业管理、人员聚集风险两个场景的</w:t>
            </w:r>
            <w:r>
              <w:rPr>
                <w:rFonts w:ascii="仿宋_GB2312" w:hAnsi="仿宋_GB2312" w:cs="仿宋_GB2312" w:eastAsia="仿宋_GB2312"/>
                <w:sz w:val="21"/>
              </w:rPr>
              <w:t>系统</w:t>
            </w:r>
            <w:r>
              <w:rPr>
                <w:rFonts w:ascii="仿宋_GB2312" w:hAnsi="仿宋_GB2312" w:cs="仿宋_GB2312" w:eastAsia="仿宋_GB2312"/>
                <w:sz w:val="21"/>
              </w:rPr>
              <w:t>接入保障、衔接</w:t>
            </w:r>
            <w:r>
              <w:rPr>
                <w:rFonts w:ascii="仿宋_GB2312" w:hAnsi="仿宋_GB2312" w:cs="仿宋_GB2312" w:eastAsia="仿宋_GB2312"/>
                <w:sz w:val="21"/>
              </w:rPr>
              <w:t>和</w:t>
            </w:r>
            <w:r>
              <w:rPr>
                <w:rFonts w:ascii="仿宋_GB2312" w:hAnsi="仿宋_GB2312" w:cs="仿宋_GB2312" w:eastAsia="仿宋_GB2312"/>
                <w:sz w:val="21"/>
              </w:rPr>
              <w:t>技术指导等工作</w:t>
            </w:r>
            <w:r>
              <w:rPr>
                <w:rFonts w:ascii="仿宋_GB2312" w:hAnsi="仿宋_GB2312" w:cs="仿宋_GB2312" w:eastAsia="仿宋_GB2312"/>
                <w:sz w:val="21"/>
              </w:rPr>
              <w:t>。</w:t>
            </w:r>
          </w:p>
          <w:p>
            <w:pPr>
              <w:pStyle w:val="null3"/>
              <w:spacing w:before="255" w:after="255"/>
              <w:ind w:left="285"/>
              <w:jc w:val="left"/>
              <w:outlineLvl w:val="1"/>
            </w:pPr>
            <w:r>
              <w:rPr>
                <w:rFonts w:ascii="仿宋_GB2312" w:hAnsi="仿宋_GB2312" w:cs="仿宋_GB2312" w:eastAsia="仿宋_GB2312"/>
                <w:sz w:val="21"/>
                <w:b/>
              </w:rPr>
              <w:t>（四）服务器监守</w:t>
            </w:r>
            <w:r>
              <w:rPr>
                <w:rFonts w:ascii="仿宋_GB2312" w:hAnsi="仿宋_GB2312" w:cs="仿宋_GB2312" w:eastAsia="仿宋_GB2312"/>
                <w:sz w:val="21"/>
                <w:b/>
              </w:rPr>
              <w:t>及应用提升</w:t>
            </w:r>
          </w:p>
          <w:p>
            <w:pPr>
              <w:pStyle w:val="null3"/>
              <w:ind w:firstLine="480"/>
              <w:jc w:val="left"/>
            </w:pPr>
            <w:r>
              <w:rPr>
                <w:rFonts w:ascii="仿宋_GB2312" w:hAnsi="仿宋_GB2312" w:cs="仿宋_GB2312" w:eastAsia="仿宋_GB2312"/>
                <w:sz w:val="21"/>
              </w:rPr>
              <w:t>监守服务器运行情况，监测服务器处理器、内存、硬盘等资源使用情况，服务器及数据库安全加固、开展关键业务数据备份，保障业务系统稳定运行。定期对系统软硬件进行专业分析，并督促企业修复传感器故障、定期自查网关设备、校准仪表数据，保障传输稳定性。</w:t>
            </w:r>
          </w:p>
          <w:p>
            <w:pPr>
              <w:pStyle w:val="null3"/>
              <w:jc w:val="left"/>
            </w:pPr>
            <w:r>
              <w:rPr>
                <w:rFonts w:ascii="仿宋_GB2312" w:hAnsi="仿宋_GB2312" w:cs="仿宋_GB2312" w:eastAsia="仿宋_GB2312"/>
                <w:sz w:val="21"/>
                <w:b/>
              </w:rPr>
              <w:t>三、</w:t>
            </w:r>
            <w:r>
              <w:rPr>
                <w:rFonts w:ascii="仿宋_GB2312" w:hAnsi="仿宋_GB2312" w:cs="仿宋_GB2312" w:eastAsia="仿宋_GB2312"/>
                <w:sz w:val="21"/>
                <w:b/>
              </w:rPr>
              <w:t>成果报告</w:t>
            </w:r>
          </w:p>
          <w:p>
            <w:pPr>
              <w:pStyle w:val="null3"/>
              <w:ind w:firstLine="480"/>
              <w:jc w:val="both"/>
            </w:pPr>
            <w:r>
              <w:rPr>
                <w:rFonts w:ascii="仿宋_GB2312" w:hAnsi="仿宋_GB2312" w:cs="仿宋_GB2312" w:eastAsia="仿宋_GB2312"/>
                <w:sz w:val="21"/>
              </w:rPr>
              <w:t>危险化学品重大危险源企业</w:t>
            </w:r>
            <w:r>
              <w:rPr>
                <w:rFonts w:ascii="仿宋_GB2312" w:hAnsi="仿宋_GB2312" w:cs="仿宋_GB2312" w:eastAsia="仿宋_GB2312"/>
                <w:sz w:val="21"/>
              </w:rPr>
              <w:t>安全生产</w:t>
            </w:r>
            <w:r>
              <w:rPr>
                <w:rFonts w:ascii="仿宋_GB2312" w:hAnsi="仿宋_GB2312" w:cs="仿宋_GB2312" w:eastAsia="仿宋_GB2312"/>
                <w:sz w:val="21"/>
              </w:rPr>
              <w:t>风险监测预警系统、烟花爆竹</w:t>
            </w:r>
            <w:r>
              <w:rPr>
                <w:rFonts w:ascii="仿宋_GB2312" w:hAnsi="仿宋_GB2312" w:cs="仿宋_GB2312" w:eastAsia="仿宋_GB2312"/>
                <w:sz w:val="21"/>
              </w:rPr>
              <w:t>安全生产</w:t>
            </w:r>
            <w:r>
              <w:rPr>
                <w:rFonts w:ascii="仿宋_GB2312" w:hAnsi="仿宋_GB2312" w:cs="仿宋_GB2312" w:eastAsia="仿宋_GB2312"/>
                <w:sz w:val="21"/>
              </w:rPr>
              <w:t>风险监测预警系统</w:t>
            </w:r>
            <w:r>
              <w:rPr>
                <w:rFonts w:ascii="仿宋_GB2312" w:hAnsi="仿宋_GB2312" w:cs="仿宋_GB2312" w:eastAsia="仿宋_GB2312"/>
                <w:sz w:val="21"/>
              </w:rPr>
              <w:t>、危险化学品重大危险源企业</w:t>
            </w:r>
            <w:r>
              <w:rPr>
                <w:rFonts w:ascii="仿宋_GB2312" w:hAnsi="仿宋_GB2312" w:cs="仿宋_GB2312" w:eastAsia="仿宋_GB2312"/>
                <w:sz w:val="21"/>
              </w:rPr>
              <w:t>双重预防机制数字化系统的日常监控</w:t>
            </w:r>
            <w:r>
              <w:rPr>
                <w:rFonts w:ascii="仿宋_GB2312" w:hAnsi="仿宋_GB2312" w:cs="仿宋_GB2312" w:eastAsia="仿宋_GB2312"/>
                <w:sz w:val="21"/>
              </w:rPr>
              <w:t>及数据治理报告</w:t>
            </w:r>
            <w:r>
              <w:rPr>
                <w:rFonts w:ascii="仿宋_GB2312" w:hAnsi="仿宋_GB2312" w:cs="仿宋_GB2312" w:eastAsia="仿宋_GB2312"/>
                <w:sz w:val="21"/>
              </w:rPr>
              <w:t>、</w:t>
            </w:r>
            <w:r>
              <w:rPr>
                <w:rFonts w:ascii="仿宋_GB2312" w:hAnsi="仿宋_GB2312" w:cs="仿宋_GB2312" w:eastAsia="仿宋_GB2312"/>
                <w:sz w:val="21"/>
              </w:rPr>
              <w:t>危险化学品重大危险源企业</w:t>
            </w:r>
            <w:r>
              <w:rPr>
                <w:rFonts w:ascii="仿宋_GB2312" w:hAnsi="仿宋_GB2312" w:cs="仿宋_GB2312" w:eastAsia="仿宋_GB2312"/>
                <w:sz w:val="21"/>
              </w:rPr>
              <w:t>双重预防机制数字化系统</w:t>
            </w:r>
            <w:r>
              <w:rPr>
                <w:rFonts w:ascii="仿宋_GB2312" w:hAnsi="仿宋_GB2312" w:cs="仿宋_GB2312" w:eastAsia="仿宋_GB2312"/>
                <w:sz w:val="21"/>
              </w:rPr>
              <w:t>运行维护</w:t>
            </w:r>
            <w:r>
              <w:rPr>
                <w:rFonts w:ascii="仿宋_GB2312" w:hAnsi="仿宋_GB2312" w:cs="仿宋_GB2312" w:eastAsia="仿宋_GB2312"/>
                <w:sz w:val="21"/>
              </w:rPr>
              <w:t>报告</w:t>
            </w:r>
            <w:r>
              <w:rPr>
                <w:rFonts w:ascii="仿宋_GB2312" w:hAnsi="仿宋_GB2312" w:cs="仿宋_GB2312" w:eastAsia="仿宋_GB2312"/>
                <w:sz w:val="21"/>
              </w:rPr>
              <w:t>的编制。</w:t>
            </w:r>
          </w:p>
          <w:p>
            <w:pPr>
              <w:pStyle w:val="null3"/>
              <w:jc w:val="both"/>
            </w:pPr>
            <w:r>
              <w:rPr>
                <w:rFonts w:ascii="仿宋_GB2312" w:hAnsi="仿宋_GB2312" w:cs="仿宋_GB2312" w:eastAsia="仿宋_GB2312"/>
                <w:sz w:val="21"/>
                <w:b/>
              </w:rPr>
              <w:t>四、</w:t>
            </w:r>
            <w:r>
              <w:rPr>
                <w:rFonts w:ascii="仿宋_GB2312" w:hAnsi="仿宋_GB2312" w:cs="仿宋_GB2312" w:eastAsia="仿宋_GB2312"/>
                <w:sz w:val="21"/>
                <w:b/>
              </w:rPr>
              <w:t>商务要求</w:t>
            </w:r>
          </w:p>
          <w:p>
            <w:pPr>
              <w:pStyle w:val="null3"/>
              <w:jc w:val="both"/>
            </w:pPr>
            <w:r>
              <w:rPr>
                <w:rFonts w:ascii="仿宋_GB2312" w:hAnsi="仿宋_GB2312" w:cs="仿宋_GB2312" w:eastAsia="仿宋_GB2312"/>
                <w:sz w:val="21"/>
              </w:rPr>
              <w:t xml:space="preserve">   人员：提供不少于</w:t>
            </w:r>
            <w:r>
              <w:rPr>
                <w:rFonts w:ascii="仿宋_GB2312" w:hAnsi="仿宋_GB2312" w:cs="仿宋_GB2312" w:eastAsia="仿宋_GB2312"/>
                <w:sz w:val="21"/>
              </w:rPr>
              <w:t>3人的驻场服务，满足全年24小时服务</w:t>
            </w:r>
            <w:r>
              <w:rPr>
                <w:rFonts w:ascii="仿宋_GB2312" w:hAnsi="仿宋_GB2312" w:cs="仿宋_GB2312" w:eastAsia="仿宋_GB2312"/>
                <w:sz w:val="21"/>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合同签订之日起</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提交最终成果报告并通过专家组论证验收通过</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采购代理机构开户名称: 陕西启航项目管理咨询有限公司；开户行名称：中国工商银行股份有限公司西安高新技术开发区支行；账号： 3700024609200501345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提供法定代表人授权书（附法定代表人、被授权人身份证复印件），法定代表人直接参加的，须提供法定代表人身份证明及身份证复印件</w:t>
            </w:r>
          </w:p>
        </w:tc>
        <w:tc>
          <w:tcPr>
            <w:tcW w:type="dxa" w:w="1661"/>
          </w:tcPr>
          <w:p>
            <w:pPr>
              <w:pStyle w:val="null3"/>
            </w:pPr>
            <w:r>
              <w:rPr>
                <w:rFonts w:ascii="仿宋_GB2312" w:hAnsi="仿宋_GB2312" w:cs="仿宋_GB2312" w:eastAsia="仿宋_GB2312"/>
              </w:rPr>
              <w:t>法定代表人身份证明法定代表人授权书.docx 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经审计完整的财务审计报告，内容至少包括资产负债表、利润表、现金流量表及附注（成立时间至提交响应文件截止时间不足一年的可提供成立后任意时段的资产负债表）或磋商时间前六个月内银行出具的资信证明</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提供磋商截止日前近一年内任意一个月的纳税证明或完税证明（任意税种），依法免税的单位应提供相关证明材料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供应商通过“信用中国”网站(www.creditchina.gov.cn)、中国政府采购网(www.ccgp.gov.cn)等查询相关主体信用记录</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参加政府采购活动前3年内在经营活动中没有重大违法纪录的书面声明.docx 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提供具有履行合同所必需的设备和专业技术能力的书面承诺</w:t>
            </w:r>
          </w:p>
        </w:tc>
        <w:tc>
          <w:tcPr>
            <w:tcW w:type="dxa" w:w="1661"/>
          </w:tcPr>
          <w:p>
            <w:pPr>
              <w:pStyle w:val="null3"/>
            </w:pPr>
            <w:r>
              <w:rPr>
                <w:rFonts w:ascii="仿宋_GB2312" w:hAnsi="仿宋_GB2312" w:cs="仿宋_GB2312" w:eastAsia="仿宋_GB2312"/>
              </w:rPr>
              <w:t>特定资格证明文件.docx 具有履行本合同所必需的设备和专业技术能力的承诺函.docx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供应商提供中小企业声明函</w:t>
            </w:r>
          </w:p>
        </w:tc>
        <w:tc>
          <w:tcPr>
            <w:tcW w:type="dxa" w:w="1661"/>
          </w:tcPr>
          <w:p>
            <w:pPr>
              <w:pStyle w:val="null3"/>
            </w:pPr>
            <w:r>
              <w:rPr>
                <w:rFonts w:ascii="仿宋_GB2312" w:hAnsi="仿宋_GB2312" w:cs="仿宋_GB2312" w:eastAsia="仿宋_GB2312"/>
              </w:rPr>
              <w:t>中小企业声明函 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本项目不接受联合体磋商（提供承诺书）</w:t>
            </w:r>
          </w:p>
        </w:tc>
        <w:tc>
          <w:tcPr>
            <w:tcW w:type="dxa" w:w="1661"/>
          </w:tcPr>
          <w:p>
            <w:pPr>
              <w:pStyle w:val="null3"/>
            </w:pPr>
            <w:r>
              <w:rPr>
                <w:rFonts w:ascii="仿宋_GB2312" w:hAnsi="仿宋_GB2312" w:cs="仿宋_GB2312" w:eastAsia="仿宋_GB2312"/>
              </w:rPr>
              <w:t>特定资格证明文件.docx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竞争性磋商响应文件的完整性</w:t>
            </w:r>
          </w:p>
        </w:tc>
        <w:tc>
          <w:tcPr>
            <w:tcW w:type="dxa" w:w="3322"/>
          </w:tcPr>
          <w:p>
            <w:pPr>
              <w:pStyle w:val="null3"/>
            </w:pPr>
            <w:r>
              <w:rPr>
                <w:rFonts w:ascii="仿宋_GB2312" w:hAnsi="仿宋_GB2312" w:cs="仿宋_GB2312" w:eastAsia="仿宋_GB2312"/>
              </w:rPr>
              <w:t>竞争性磋商响应文件构成是否有重大缺项，是否按照竞争性磋商文件要求的格式编写竞争性磋商响应文件。</w:t>
            </w:r>
          </w:p>
        </w:tc>
        <w:tc>
          <w:tcPr>
            <w:tcW w:type="dxa" w:w="1661"/>
          </w:tcPr>
          <w:p>
            <w:pPr>
              <w:pStyle w:val="null3"/>
            </w:pPr>
            <w:r>
              <w:rPr>
                <w:rFonts w:ascii="仿宋_GB2312" w:hAnsi="仿宋_GB2312" w:cs="仿宋_GB2312" w:eastAsia="仿宋_GB2312"/>
              </w:rPr>
              <w:t>中小企业声明函 特定资格证明文件.docx 供应商应提交的相关资格证明材料 具有履行本合同所必需的设备和专业技术能力的承诺函.docx 报价表 磋商方案说明书.docx 其他.docx 响应文件封面 分项报价表.docx 法定代表人身份证明法定代表人授权书.docx 参加政府采购活动前3年内在经营活动中没有重大违法纪录的书面声明.docx 残疾人福利性单位声明函 标的清单 响应函 商务偏离表.docx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竞争性磋商响应文件的有效性</w:t>
            </w:r>
          </w:p>
        </w:tc>
        <w:tc>
          <w:tcPr>
            <w:tcW w:type="dxa" w:w="3322"/>
          </w:tcPr>
          <w:p>
            <w:pPr>
              <w:pStyle w:val="null3"/>
            </w:pPr>
            <w:r>
              <w:rPr>
                <w:rFonts w:ascii="仿宋_GB2312" w:hAnsi="仿宋_GB2312" w:cs="仿宋_GB2312" w:eastAsia="仿宋_GB2312"/>
              </w:rPr>
              <w:t>竞争性磋商响应文件的签署、加盖印章是否合格、有效；提供的各种证明文件、数据、资料是否真实、有效。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中小企业声明函 特定资格证明文件.docx 供应商应提交的相关资格证明材料 具有履行本合同所必需的设备和专业技术能力的承诺函.docx 报价表 磋商方案说明书.docx 其他.docx 响应文件封面 分项报价表.docx 法定代表人身份证明法定代表人授权书.docx 参加政府采购活动前3年内在经营活动中没有重大违法纪录的书面声明.docx 残疾人福利性单位声明函 标的清单 响应函 商务偏离表.docx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竞争性磋商响应文件的响应性</w:t>
            </w:r>
          </w:p>
        </w:tc>
        <w:tc>
          <w:tcPr>
            <w:tcW w:type="dxa" w:w="3322"/>
          </w:tcPr>
          <w:p>
            <w:pPr>
              <w:pStyle w:val="null3"/>
            </w:pPr>
            <w:r>
              <w:rPr>
                <w:rFonts w:ascii="仿宋_GB2312" w:hAnsi="仿宋_GB2312" w:cs="仿宋_GB2312" w:eastAsia="仿宋_GB2312"/>
              </w:rPr>
              <w:t>磋商有效期是否符合竞争性磋商文件要求；是否满足本次磋商的特殊要求；磋商方案是否有重大缺漏项；磋商服务的技术规格是否有重大偏离；磋商商务响应条款是否有重大偏离；对合同中规定的双方的权利和义务是否做出了实质性修改。</w:t>
            </w:r>
          </w:p>
        </w:tc>
        <w:tc>
          <w:tcPr>
            <w:tcW w:type="dxa" w:w="1661"/>
          </w:tcPr>
          <w:p>
            <w:pPr>
              <w:pStyle w:val="null3"/>
            </w:pPr>
            <w:r>
              <w:rPr>
                <w:rFonts w:ascii="仿宋_GB2312" w:hAnsi="仿宋_GB2312" w:cs="仿宋_GB2312" w:eastAsia="仿宋_GB2312"/>
              </w:rPr>
              <w:t>中小企业声明函 特定资格证明文件.docx 供应商应提交的相关资格证明材料 具有履行本合同所必需的设备和专业技术能力的承诺函.docx 报价表 磋商方案说明书.docx 其他.docx 响应文件封面 分项报价表.docx 法定代表人身份证明法定代表人授权书.docx 参加政府采购活动前3年内在经营活动中没有重大违法纪录的书面声明.docx 残疾人福利性单位声明函 标的清单 响应函 商务偏离表.docx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 实施 方案</w:t>
            </w:r>
          </w:p>
        </w:tc>
        <w:tc>
          <w:tcPr>
            <w:tcW w:type="dxa" w:w="2492"/>
          </w:tcPr>
          <w:p>
            <w:pPr>
              <w:pStyle w:val="null3"/>
            </w:pPr>
            <w:r>
              <w:rPr>
                <w:rFonts w:ascii="仿宋_GB2312" w:hAnsi="仿宋_GB2312" w:cs="仿宋_GB2312" w:eastAsia="仿宋_GB2312"/>
              </w:rPr>
              <w:t>一、评审内容 针对本项目提出适用于本项目的方案，方案包括：①数据质量治理及工作报告编制；②巡检运维及工作报告编制；③专项工作支撑；④服务器监守。 二、评审标准 1、完整性：方案必须全面，对评审内容中的各项要求有详细描述； 2、可实施性：切合本项目实际情况，提出步骤清晰、合理的方案； 3、针对性：方案能够紧扣项目实际情况，内容科学合理。 三、赋分标准（满分24分） ①数据质量治理及工作报告编制：每完全满足一个评审标准得2分，满分6分； ②巡检运维及工作报告编制：每完全满足一个评审标准得2分，满分6分； ③专项工作支撑：每完全满足一个评审标准得2分，满分6分； ④服务器监守：每完全满足一个评审标准得2分，满分6分；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团队建设方案</w:t>
            </w:r>
          </w:p>
        </w:tc>
        <w:tc>
          <w:tcPr>
            <w:tcW w:type="dxa" w:w="2492"/>
          </w:tcPr>
          <w:p>
            <w:pPr>
              <w:pStyle w:val="null3"/>
            </w:pPr>
            <w:r>
              <w:rPr>
                <w:rFonts w:ascii="仿宋_GB2312" w:hAnsi="仿宋_GB2312" w:cs="仿宋_GB2312" w:eastAsia="仿宋_GB2312"/>
              </w:rPr>
              <w:t>一、评审内容 根据本项目提供团队建设方案，方案内容包括：①团队组织管理②专业服务团队人员的职能分工。 二、评审标准 1、完整性：方案必须全面，对评审内容中的各项要求有详细描述； 2、可实施性：切合本项目实际情况，提出步骤清晰、合理的方案； 3、针对性：方案能够紧扣项目实际情况，人员分工及职责等内容科学合理。 三、赋分标准（满分6分） ①团队组织管理：每完全满足一个评审标准得1分，满分3分； ②专业服务团队人员的职能分工:每完全满足一个评审标准得1分，满分3分。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应具有PMP项目经理证书或同等资格证书，并具有5年以上系统平台运维工作经验得4分；具有3年（含）-5年（不含）系统平台运维工作经验得3分。需要提供项目负责人身份证、职称/资格证书复印件，磋商前6个月在本公司的社保证明，工作经验以简历表为准。 2.项目负责人具有高级及以上职称得3分，具有中级职称得2分；需提供职称证书。</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团队人员配置</w:t>
            </w:r>
          </w:p>
        </w:tc>
        <w:tc>
          <w:tcPr>
            <w:tcW w:type="dxa" w:w="2492"/>
          </w:tcPr>
          <w:p>
            <w:pPr>
              <w:pStyle w:val="null3"/>
            </w:pPr>
            <w:r>
              <w:rPr>
                <w:rFonts w:ascii="仿宋_GB2312" w:hAnsi="仿宋_GB2312" w:cs="仿宋_GB2312" w:eastAsia="仿宋_GB2312"/>
              </w:rPr>
              <w:t>1.提供3人全年驻场服务承诺，得4分。 2.团队人员中至少1名人员取得注册安全工程师证书，注册类别应为化工安全，需要提供人员身份证、职称/资格证书复印件，磋商前2个月在本公司的社保证明，得4分。 3.团队人员中至少一名人员取得数据治理工程师证书，需要提供人员身份证、职称/资格证书复印件，磋商前2个月在本公司的社保证明，得3分。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质量与进度控制</w:t>
            </w:r>
          </w:p>
        </w:tc>
        <w:tc>
          <w:tcPr>
            <w:tcW w:type="dxa" w:w="2492"/>
          </w:tcPr>
          <w:p>
            <w:pPr>
              <w:pStyle w:val="null3"/>
            </w:pPr>
            <w:r>
              <w:rPr>
                <w:rFonts w:ascii="仿宋_GB2312" w:hAnsi="仿宋_GB2312" w:cs="仿宋_GB2312" w:eastAsia="仿宋_GB2312"/>
              </w:rPr>
              <w:t>一、评审内容 针对本项目提出适用于本项目的方案，包括：①质量管理体系；②质量保证措施；③进度保障措施。 二、评审标准 1、完整性：方案必须全面，对评审内容中的各项要求有详细描述； 2、可实施性：切合本项目实际情况，提出步骤清晰、合理的方案； 3、针对性：方案能够紧扣项目实际情况，内容科学合理。 三、赋分标准（满分9分） ①质量管理体系：每完全满足一个评审标准得1分，满分3分； ②质量保证措施：每完全满足一个评审标准得1分，满分3分； ③进度保障措施：每完全满足一个评审标准得1分，满分3分。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档案资料管理与保密措施</w:t>
            </w:r>
          </w:p>
        </w:tc>
        <w:tc>
          <w:tcPr>
            <w:tcW w:type="dxa" w:w="2492"/>
          </w:tcPr>
          <w:p>
            <w:pPr>
              <w:pStyle w:val="null3"/>
            </w:pPr>
            <w:r>
              <w:rPr>
                <w:rFonts w:ascii="仿宋_GB2312" w:hAnsi="仿宋_GB2312" w:cs="仿宋_GB2312" w:eastAsia="仿宋_GB2312"/>
              </w:rPr>
              <w:t>一、评审内容 针对本项目提出适用于本项目的方案，包括：①档案资料管理制度，包括：档案资料收集、整理、保管等②档案资料工作人员管理办法；③保密措施方案；④保密实施细则；⑤人员保密管理。 二、评审标准 1、完整性：方案必须全面，对评审内容中的各项要求有详细描述； 2、可实施性：切合本项目实际情况，提出步骤清晰、合理的方案； 3、针对性：方案能够紧扣项目实际情况，内容科学合理。 三、赋分标准（满分7.5分） ①档案管理制度：每完全满足一个评审标准得0.5分，满分1.5分； ②档案工作人员管理办法：每完全满足一个评审标准得0.5分，满分1.5分； ③保密措施方案：每完全满足一个评审标准得0.5分，满分1.5分； ④保密实施细则：每完全满足一个评审标准得0.5分，满分1.5分； ⑤人员保密管理：每完全满足一个评审标准得0.5分，满分1.5分。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一、评审内容 针对本项目提出适用于本项目的方案，包括：①验收资料②验收程序③验收标准 二、评审标准 1、完整性：方案必须全面，对评审内容中的各项要求有详细描述； 2、可实施性：切合本项目实际情况，提出步骤清晰、合理的方案； 3、针对性：方案能够紧扣项目实际情况，内容科学合理。 三、赋分标准（满分4.5分） ①验收资料：每完全满足一个评审标准得0.5分，满分1.5分； ②验收程序：每完全满足一个评审标准得0.5分，满分1.5分； ③验收标准：每完全满足一个评审标准得0.5分，满分1.5分。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针对采购需求提出适用于本项目的应急处理方案，方案包括：①应急方案②应急预案③处理措施 二、评审标准 1、完整性：方案必须全面，对评审内容中的各项要求有详细描述； 2、可实施性：切合本项目实际情况，提出步骤清晰、合理的方案； 3、针对性：方案能够紧扣项目实际情况，内容科学合理。 三、赋分标准（满分9分） ①应急方案：每完全满足一个评审标准得1分，满分3分； ②应急预案：每完全满足一个评审标准得1分，满分3分； ③处理措施：每完全满足一个评审标准得1分，满分3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提供2022年1月1日至今类似本项目业绩证明，每提供一份得3分，最高得12分。（业绩证明材料以合同复印件或中标通知书加盖公章为准）。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评标基准价=满足磋商文件要求且最低的评标价格 合格供应商的有效价格得分=（评标基准价/评标价格)×10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详见附件：特定资格证明文件.docx</w:t>
      </w:r>
    </w:p>
    <w:p>
      <w:pPr>
        <w:pStyle w:val="null3"/>
        <w:ind w:firstLine="960"/>
      </w:pPr>
      <w:r>
        <w:rPr>
          <w:rFonts w:ascii="仿宋_GB2312" w:hAnsi="仿宋_GB2312" w:cs="仿宋_GB2312" w:eastAsia="仿宋_GB2312"/>
        </w:rPr>
        <w:t>详见附件：法定代表人身份证明法定代表人授权书.docx</w:t>
      </w:r>
    </w:p>
    <w:p>
      <w:pPr>
        <w:pStyle w:val="null3"/>
        <w:ind w:firstLine="960"/>
      </w:pPr>
      <w:r>
        <w:rPr>
          <w:rFonts w:ascii="仿宋_GB2312" w:hAnsi="仿宋_GB2312" w:cs="仿宋_GB2312" w:eastAsia="仿宋_GB2312"/>
        </w:rPr>
        <w:t>详见附件：参加政府采购活动前3年内在经营活动中没有重大违法纪录的书面声明.docx</w:t>
      </w:r>
    </w:p>
    <w:p>
      <w:pPr>
        <w:pStyle w:val="null3"/>
        <w:ind w:firstLine="960"/>
      </w:pPr>
      <w:r>
        <w:rPr>
          <w:rFonts w:ascii="仿宋_GB2312" w:hAnsi="仿宋_GB2312" w:cs="仿宋_GB2312" w:eastAsia="仿宋_GB2312"/>
        </w:rPr>
        <w:t>详见附件：具有履行本合同所必需的设备和专业技术能力的承诺函.docx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