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CD6BA">
      <w:pPr>
        <w:outlineLvl w:val="1"/>
        <w:rPr>
          <w:rFonts w:hint="eastAsia" w:hAnsi="宋体" w:cs="宋体"/>
          <w:b/>
          <w:sz w:val="32"/>
          <w:szCs w:val="32"/>
        </w:rPr>
      </w:pPr>
      <w:bookmarkStart w:id="0" w:name="_Toc7874"/>
      <w:bookmarkStart w:id="1" w:name="_Toc5216"/>
      <w:bookmarkStart w:id="2" w:name="_Toc1362"/>
      <w:bookmarkStart w:id="3" w:name="_Toc18120"/>
      <w:r>
        <w:rPr>
          <w:rFonts w:hint="eastAsia" w:hAnsi="宋体" w:cs="宋体"/>
          <w:b/>
          <w:sz w:val="32"/>
          <w:szCs w:val="32"/>
        </w:rPr>
        <w:t>政府采购项目</w:t>
      </w:r>
      <w:r>
        <w:rPr>
          <w:rFonts w:hint="eastAsia" w:hAnsi="宋体" w:cs="宋体"/>
          <w:b/>
          <w:bCs/>
          <w:sz w:val="28"/>
          <w:szCs w:val="28"/>
        </w:rPr>
        <w:t>（</w:t>
      </w:r>
      <w:r>
        <w:rPr>
          <w:rFonts w:hint="eastAsia" w:hAnsi="宋体" w:cs="宋体"/>
          <w:b/>
          <w:sz w:val="32"/>
          <w:szCs w:val="32"/>
        </w:rPr>
        <w:t>仅供参考）</w:t>
      </w:r>
      <w:bookmarkEnd w:id="0"/>
      <w:bookmarkEnd w:id="1"/>
      <w:bookmarkEnd w:id="2"/>
      <w:bookmarkEnd w:id="3"/>
      <w:r>
        <w:rPr>
          <w:rFonts w:hint="eastAsia" w:hAnsi="宋体" w:cs="宋体"/>
          <w:b/>
          <w:sz w:val="32"/>
          <w:szCs w:val="32"/>
        </w:rPr>
        <w:t xml:space="preserve">                  </w:t>
      </w:r>
    </w:p>
    <w:p w14:paraId="59971983">
      <w:pPr>
        <w:rPr>
          <w:rFonts w:hint="eastAsia" w:hAnsi="宋体" w:cs="宋体"/>
          <w:b/>
          <w:sz w:val="32"/>
          <w:szCs w:val="32"/>
        </w:rPr>
      </w:pPr>
      <w:r>
        <w:rPr>
          <w:rFonts w:hint="eastAsia" w:hAnsi="宋体" w:cs="宋体"/>
          <w:b/>
          <w:sz w:val="32"/>
          <w:szCs w:val="32"/>
        </w:rPr>
        <w:t xml:space="preserve">          </w:t>
      </w:r>
    </w:p>
    <w:p w14:paraId="61A1487E">
      <w:pPr>
        <w:jc w:val="center"/>
        <w:rPr>
          <w:rFonts w:hint="eastAsia" w:hAnsi="宋体" w:cs="宋体"/>
          <w:sz w:val="52"/>
          <w:szCs w:val="52"/>
        </w:rPr>
      </w:pPr>
    </w:p>
    <w:p w14:paraId="6006D3F9">
      <w:pPr>
        <w:jc w:val="center"/>
        <w:rPr>
          <w:rFonts w:hint="eastAsia" w:hAnsi="宋体" w:cs="宋体"/>
          <w:sz w:val="52"/>
          <w:szCs w:val="52"/>
        </w:rPr>
      </w:pPr>
    </w:p>
    <w:p w14:paraId="2A2EA46A">
      <w:pPr>
        <w:jc w:val="center"/>
        <w:rPr>
          <w:rFonts w:hint="eastAsia" w:hAnsi="宋体" w:cs="宋体"/>
          <w:b/>
          <w:snapToGrid w:val="0"/>
          <w:sz w:val="48"/>
          <w:szCs w:val="48"/>
          <w:u w:val="single"/>
        </w:rPr>
      </w:pPr>
      <w:r>
        <w:rPr>
          <w:rFonts w:hint="eastAsia" w:hAnsi="宋体" w:cs="宋体"/>
          <w:b/>
          <w:snapToGrid w:val="0"/>
          <w:sz w:val="48"/>
          <w:szCs w:val="48"/>
          <w:u w:val="single"/>
        </w:rPr>
        <w:t>(项目名称)</w:t>
      </w:r>
    </w:p>
    <w:p w14:paraId="5B010DE8">
      <w:pPr>
        <w:jc w:val="center"/>
        <w:rPr>
          <w:rFonts w:hint="eastAsia" w:hAnsi="宋体" w:cs="宋体"/>
          <w:b/>
          <w:sz w:val="72"/>
          <w:szCs w:val="72"/>
        </w:rPr>
      </w:pPr>
      <w:r>
        <w:rPr>
          <w:rFonts w:hint="eastAsia" w:hAnsi="宋体" w:cs="宋体"/>
          <w:b/>
          <w:sz w:val="72"/>
          <w:szCs w:val="72"/>
        </w:rPr>
        <w:t>服 务 合 同</w:t>
      </w:r>
    </w:p>
    <w:p w14:paraId="04D06385">
      <w:pPr>
        <w:jc w:val="center"/>
        <w:rPr>
          <w:rFonts w:hint="eastAsia" w:hAnsi="宋体" w:cs="宋体"/>
          <w:sz w:val="30"/>
          <w:szCs w:val="30"/>
        </w:rPr>
      </w:pPr>
      <w:r>
        <w:rPr>
          <w:rFonts w:hint="eastAsia" w:hAnsi="宋体" w:cs="宋体"/>
          <w:sz w:val="30"/>
          <w:szCs w:val="30"/>
        </w:rPr>
        <w:t xml:space="preserve">（项目编号：      </w:t>
      </w:r>
      <w:r>
        <w:rPr>
          <w:rFonts w:hint="eastAsia" w:hAnsi="宋体" w:cs="宋体"/>
          <w:sz w:val="28"/>
          <w:szCs w:val="28"/>
        </w:rPr>
        <w:t>）</w:t>
      </w:r>
    </w:p>
    <w:p w14:paraId="75DEC982">
      <w:pPr>
        <w:jc w:val="center"/>
        <w:rPr>
          <w:rFonts w:hint="eastAsia" w:hAnsi="宋体" w:cs="宋体"/>
          <w:sz w:val="30"/>
          <w:szCs w:val="30"/>
        </w:rPr>
      </w:pPr>
    </w:p>
    <w:p w14:paraId="77D96AB7">
      <w:pPr>
        <w:jc w:val="center"/>
        <w:rPr>
          <w:rFonts w:hint="eastAsia" w:hAnsi="宋体" w:cs="宋体"/>
          <w:sz w:val="30"/>
          <w:szCs w:val="30"/>
        </w:rPr>
      </w:pPr>
    </w:p>
    <w:p w14:paraId="3F3EDFC2">
      <w:pPr>
        <w:jc w:val="center"/>
        <w:rPr>
          <w:rFonts w:hint="eastAsia" w:hAnsi="宋体" w:cs="宋体"/>
          <w:sz w:val="30"/>
          <w:szCs w:val="30"/>
        </w:rPr>
      </w:pPr>
    </w:p>
    <w:p w14:paraId="116FC4FE">
      <w:pPr>
        <w:jc w:val="center"/>
        <w:rPr>
          <w:rFonts w:hint="eastAsia" w:hAnsi="宋体" w:cs="宋体"/>
          <w:sz w:val="30"/>
          <w:szCs w:val="30"/>
        </w:rPr>
      </w:pPr>
    </w:p>
    <w:p w14:paraId="073F4558">
      <w:pPr>
        <w:jc w:val="center"/>
        <w:rPr>
          <w:rFonts w:hint="eastAsia" w:hAnsi="宋体" w:cs="宋体"/>
          <w:sz w:val="30"/>
          <w:szCs w:val="30"/>
        </w:rPr>
      </w:pPr>
    </w:p>
    <w:p w14:paraId="6DB5C010">
      <w:pPr>
        <w:ind w:firstLine="2080" w:firstLineChars="650"/>
        <w:rPr>
          <w:rFonts w:hint="eastAsia" w:hAnsi="宋体" w:cs="宋体"/>
          <w:sz w:val="32"/>
          <w:szCs w:val="32"/>
        </w:rPr>
      </w:pPr>
      <w:r>
        <w:rPr>
          <w:rFonts w:hint="eastAsia" w:hAnsi="宋体" w:cs="宋体"/>
          <w:sz w:val="32"/>
          <w:szCs w:val="32"/>
        </w:rPr>
        <w:t xml:space="preserve">甲  方： </w:t>
      </w:r>
    </w:p>
    <w:p w14:paraId="52C105FD">
      <w:pPr>
        <w:tabs>
          <w:tab w:val="left" w:pos="480"/>
        </w:tabs>
        <w:ind w:firstLine="640" w:firstLineChars="200"/>
        <w:rPr>
          <w:rFonts w:hint="eastAsia" w:hAnsi="宋体" w:cs="宋体"/>
          <w:sz w:val="32"/>
          <w:szCs w:val="32"/>
        </w:rPr>
      </w:pPr>
      <w:r>
        <w:rPr>
          <w:rFonts w:hint="eastAsia" w:hAnsi="宋体" w:cs="宋体"/>
          <w:sz w:val="32"/>
          <w:szCs w:val="32"/>
        </w:rPr>
        <w:t xml:space="preserve">         乙  方：</w:t>
      </w:r>
    </w:p>
    <w:p w14:paraId="6B6C65F1">
      <w:pPr>
        <w:jc w:val="center"/>
        <w:rPr>
          <w:rFonts w:hint="eastAsia" w:hAnsi="宋体" w:cs="宋体"/>
          <w:sz w:val="30"/>
          <w:szCs w:val="30"/>
        </w:rPr>
      </w:pPr>
    </w:p>
    <w:p w14:paraId="0EC04BB6">
      <w:pPr>
        <w:jc w:val="center"/>
        <w:rPr>
          <w:rFonts w:hint="eastAsia" w:hAnsi="宋体" w:cs="宋体"/>
          <w:sz w:val="32"/>
          <w:szCs w:val="32"/>
        </w:rPr>
      </w:pPr>
      <w:r>
        <w:rPr>
          <w:rFonts w:hint="eastAsia" w:hAnsi="宋体" w:cs="宋体"/>
          <w:sz w:val="32"/>
          <w:szCs w:val="32"/>
        </w:rPr>
        <w:t xml:space="preserve">  年  月</w:t>
      </w:r>
    </w:p>
    <w:p w14:paraId="52FB6B5D">
      <w:pPr>
        <w:jc w:val="center"/>
        <w:rPr>
          <w:rFonts w:hint="eastAsia" w:hAnsi="宋体" w:cs="宋体"/>
          <w:sz w:val="32"/>
          <w:szCs w:val="32"/>
        </w:rPr>
      </w:pPr>
    </w:p>
    <w:p w14:paraId="0E6DD1D0">
      <w:pPr>
        <w:spacing w:line="590" w:lineRule="exact"/>
        <w:rPr>
          <w:rFonts w:hint="eastAsia" w:hAnsi="宋体" w:cs="宋体"/>
          <w:b/>
          <w:sz w:val="36"/>
          <w:szCs w:val="36"/>
        </w:rPr>
      </w:pPr>
    </w:p>
    <w:p w14:paraId="38D402CE">
      <w:pPr>
        <w:jc w:val="center"/>
        <w:outlineLvl w:val="2"/>
        <w:rPr>
          <w:rFonts w:ascii="黑体"/>
          <w:b/>
          <w:sz w:val="36"/>
          <w:szCs w:val="36"/>
        </w:rPr>
      </w:pPr>
      <w:r>
        <w:rPr>
          <w:rFonts w:hint="eastAsia" w:hAnsi="宋体" w:cs="宋体"/>
          <w:b/>
          <w:szCs w:val="21"/>
        </w:rPr>
        <w:br w:type="page"/>
      </w:r>
      <w:bookmarkStart w:id="4" w:name="_Toc7965"/>
      <w:bookmarkStart w:id="5" w:name="_Toc28398"/>
      <w:r>
        <w:rPr>
          <w:rFonts w:hint="eastAsia" w:ascii="黑体" w:eastAsia="黑体"/>
          <w:b/>
          <w:sz w:val="36"/>
          <w:szCs w:val="36"/>
        </w:rPr>
        <w:t>协 议 书</w:t>
      </w:r>
      <w:bookmarkEnd w:id="4"/>
      <w:bookmarkEnd w:id="5"/>
    </w:p>
    <w:p w14:paraId="3D034C0A">
      <w:pPr>
        <w:spacing w:line="360" w:lineRule="auto"/>
        <w:rPr>
          <w:rFonts w:hint="eastAsia" w:hAnsi="宋体" w:cs="宋体"/>
          <w:szCs w:val="21"/>
          <w:u w:val="single"/>
        </w:rPr>
      </w:pPr>
      <w:r>
        <w:rPr>
          <w:rFonts w:hint="eastAsia" w:hAnsi="宋体" w:cs="宋体"/>
          <w:szCs w:val="21"/>
        </w:rPr>
        <w:t>甲方：</w:t>
      </w:r>
      <w:r>
        <w:rPr>
          <w:rFonts w:hint="eastAsia" w:hAnsi="宋体" w:cs="宋体"/>
          <w:szCs w:val="21"/>
          <w:u w:val="single"/>
        </w:rPr>
        <w:t xml:space="preserve">             </w:t>
      </w:r>
    </w:p>
    <w:p w14:paraId="1BEF284C">
      <w:pPr>
        <w:spacing w:line="360" w:lineRule="auto"/>
        <w:rPr>
          <w:rFonts w:hint="eastAsia" w:hAnsi="宋体" w:cs="宋体"/>
          <w:szCs w:val="21"/>
          <w:u w:val="single"/>
        </w:rPr>
      </w:pPr>
      <w:r>
        <w:rPr>
          <w:rFonts w:hint="eastAsia" w:hAnsi="宋体" w:cs="宋体"/>
          <w:szCs w:val="21"/>
        </w:rPr>
        <w:t>乙方：</w:t>
      </w:r>
      <w:r>
        <w:rPr>
          <w:rFonts w:hint="eastAsia" w:hAnsi="宋体" w:cs="宋体"/>
          <w:szCs w:val="21"/>
          <w:u w:val="single"/>
        </w:rPr>
        <w:t xml:space="preserve">             </w:t>
      </w:r>
    </w:p>
    <w:p w14:paraId="1A59BD2A">
      <w:pPr>
        <w:spacing w:line="360" w:lineRule="auto"/>
        <w:ind w:firstLine="480" w:firstLineChars="200"/>
        <w:rPr>
          <w:rFonts w:hint="eastAsia" w:hAnsi="宋体" w:cs="宋体"/>
          <w:szCs w:val="21"/>
        </w:rPr>
      </w:pPr>
      <w:r>
        <w:rPr>
          <w:rFonts w:hint="eastAsia" w:hAnsi="宋体" w:cs="宋体"/>
          <w:szCs w:val="21"/>
        </w:rPr>
        <w:t>根据《中华人民共和国民法典》、《中华人民共和国政府采购法》与项目行业有关的法律法规，以及本项目（</w:t>
      </w:r>
      <w:r>
        <w:rPr>
          <w:rFonts w:hint="eastAsia" w:hAnsi="宋体" w:cs="宋体"/>
          <w:szCs w:val="21"/>
          <w:lang w:eastAsia="zh-CN"/>
        </w:rPr>
        <w:t>危险化学品重大危险源企业风险监测预警系统、烟花爆竹风险监测预警系统、双重预防机制数字化系统的日常监控及双预防数字化企业端运维技术协作项目</w:t>
      </w:r>
      <w:r>
        <w:rPr>
          <w:rFonts w:hint="eastAsia" w:hAnsi="宋体" w:cs="宋体"/>
          <w:szCs w:val="21"/>
        </w:rPr>
        <w:t>）相关采购要求的规定，合同双方就乙方向采购方提供</w:t>
      </w:r>
      <w:r>
        <w:rPr>
          <w:rFonts w:hint="eastAsia" w:hAnsi="宋体" w:cs="宋体"/>
          <w:szCs w:val="21"/>
          <w:lang w:eastAsia="zh-CN"/>
        </w:rPr>
        <w:t>危险化学品重大危险源企业风险监测预警系统、烟花爆竹风险监测预警系统、双重预防机制数字化系统的日常监控及双预防数字化企业端运维技术协作项目</w:t>
      </w:r>
      <w:r>
        <w:rPr>
          <w:rFonts w:hint="eastAsia" w:hAnsi="宋体" w:cs="宋体"/>
          <w:szCs w:val="21"/>
        </w:rPr>
        <w:t>协商达成一致，确立本合同。</w:t>
      </w:r>
    </w:p>
    <w:p w14:paraId="4E6C4279">
      <w:pPr>
        <w:tabs>
          <w:tab w:val="left" w:pos="480"/>
        </w:tabs>
        <w:spacing w:line="360" w:lineRule="auto"/>
        <w:outlineLvl w:val="1"/>
        <w:rPr>
          <w:rFonts w:hint="eastAsia" w:hAnsi="宋体" w:cs="宋体"/>
          <w:b/>
          <w:szCs w:val="21"/>
        </w:rPr>
      </w:pPr>
      <w:bookmarkStart w:id="6" w:name="_Toc7407"/>
      <w:bookmarkStart w:id="7" w:name="_Toc8841"/>
      <w:bookmarkStart w:id="8" w:name="_Toc30883"/>
      <w:r>
        <w:rPr>
          <w:rFonts w:hint="eastAsia" w:hAnsi="宋体" w:cs="宋体"/>
          <w:b/>
          <w:szCs w:val="21"/>
        </w:rPr>
        <w:t>一、合同标的物内容、数量及单价</w:t>
      </w:r>
      <w:r>
        <w:rPr>
          <w:rFonts w:hint="eastAsia" w:hAnsi="宋体" w:cs="宋体"/>
          <w:szCs w:val="21"/>
        </w:rPr>
        <w:t>（以竞争性磋商响应文件正本和澄清表〈函〉为准）</w:t>
      </w:r>
      <w:bookmarkEnd w:id="6"/>
      <w:bookmarkEnd w:id="7"/>
      <w:bookmarkEnd w:id="8"/>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56DE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0AA9289A">
            <w:pPr>
              <w:tabs>
                <w:tab w:val="left" w:pos="480"/>
              </w:tabs>
              <w:spacing w:line="396" w:lineRule="exact"/>
              <w:jc w:val="center"/>
              <w:rPr>
                <w:rFonts w:hint="eastAsia" w:hAnsi="宋体" w:cs="宋体"/>
                <w:szCs w:val="21"/>
              </w:rPr>
            </w:pPr>
            <w:r>
              <w:rPr>
                <w:rFonts w:hint="eastAsia" w:hAnsi="宋体" w:cs="宋体"/>
                <w:szCs w:val="21"/>
              </w:rPr>
              <w:t>序号</w:t>
            </w:r>
          </w:p>
        </w:tc>
        <w:tc>
          <w:tcPr>
            <w:tcW w:w="1855" w:type="dxa"/>
            <w:tcBorders>
              <w:top w:val="single" w:color="auto" w:sz="4" w:space="0"/>
              <w:left w:val="single" w:color="auto" w:sz="4" w:space="0"/>
              <w:bottom w:val="single" w:color="auto" w:sz="4" w:space="0"/>
              <w:right w:val="single" w:color="auto" w:sz="4" w:space="0"/>
            </w:tcBorders>
            <w:vAlign w:val="center"/>
          </w:tcPr>
          <w:p w14:paraId="60D0F5C6">
            <w:pPr>
              <w:tabs>
                <w:tab w:val="left" w:pos="480"/>
              </w:tabs>
              <w:spacing w:line="396" w:lineRule="exact"/>
              <w:jc w:val="center"/>
              <w:rPr>
                <w:rFonts w:hint="eastAsia" w:hAnsi="宋体" w:cs="宋体"/>
                <w:szCs w:val="21"/>
              </w:rPr>
            </w:pPr>
            <w:r>
              <w:rPr>
                <w:rFonts w:hint="eastAsia" w:hAnsi="宋体" w:cs="宋体"/>
                <w:szCs w:val="21"/>
              </w:rPr>
              <w:t>服务内容</w:t>
            </w:r>
          </w:p>
        </w:tc>
        <w:tc>
          <w:tcPr>
            <w:tcW w:w="1421" w:type="dxa"/>
            <w:tcBorders>
              <w:top w:val="single" w:color="auto" w:sz="4" w:space="0"/>
              <w:left w:val="single" w:color="auto" w:sz="4" w:space="0"/>
              <w:bottom w:val="single" w:color="auto" w:sz="4" w:space="0"/>
              <w:right w:val="single" w:color="auto" w:sz="4" w:space="0"/>
            </w:tcBorders>
            <w:vAlign w:val="center"/>
          </w:tcPr>
          <w:p w14:paraId="7291EA3B">
            <w:pPr>
              <w:tabs>
                <w:tab w:val="left" w:pos="480"/>
              </w:tabs>
              <w:spacing w:line="396" w:lineRule="exact"/>
              <w:jc w:val="center"/>
              <w:rPr>
                <w:rFonts w:hint="eastAsia" w:hAnsi="宋体" w:cs="宋体"/>
                <w:szCs w:val="21"/>
              </w:rPr>
            </w:pPr>
            <w:r>
              <w:rPr>
                <w:rFonts w:hint="eastAsia" w:hAnsi="宋体" w:cs="宋体"/>
                <w:szCs w:val="21"/>
              </w:rPr>
              <w:t>服务期限</w:t>
            </w:r>
          </w:p>
        </w:tc>
        <w:tc>
          <w:tcPr>
            <w:tcW w:w="2648" w:type="dxa"/>
            <w:tcBorders>
              <w:top w:val="single" w:color="auto" w:sz="4" w:space="0"/>
              <w:left w:val="single" w:color="auto" w:sz="4" w:space="0"/>
              <w:bottom w:val="single" w:color="auto" w:sz="4" w:space="0"/>
              <w:right w:val="single" w:color="auto" w:sz="4" w:space="0"/>
            </w:tcBorders>
            <w:vAlign w:val="center"/>
          </w:tcPr>
          <w:p w14:paraId="2A5189C2">
            <w:pPr>
              <w:tabs>
                <w:tab w:val="left" w:pos="480"/>
              </w:tabs>
              <w:spacing w:line="396" w:lineRule="exact"/>
              <w:jc w:val="center"/>
              <w:rPr>
                <w:rFonts w:hint="eastAsia" w:hAnsi="宋体" w:cs="宋体"/>
                <w:szCs w:val="21"/>
              </w:rPr>
            </w:pPr>
            <w:r>
              <w:rPr>
                <w:rFonts w:hint="eastAsia" w:hAnsi="宋体" w:cs="宋体"/>
                <w:szCs w:val="21"/>
              </w:rPr>
              <w:t>相关要求</w:t>
            </w:r>
          </w:p>
        </w:tc>
        <w:tc>
          <w:tcPr>
            <w:tcW w:w="1096" w:type="dxa"/>
            <w:tcBorders>
              <w:top w:val="single" w:color="auto" w:sz="4" w:space="0"/>
              <w:left w:val="single" w:color="auto" w:sz="4" w:space="0"/>
              <w:bottom w:val="single" w:color="auto" w:sz="4" w:space="0"/>
              <w:right w:val="single" w:color="auto" w:sz="4" w:space="0"/>
            </w:tcBorders>
            <w:vAlign w:val="center"/>
          </w:tcPr>
          <w:p w14:paraId="6ED61A6F">
            <w:pPr>
              <w:tabs>
                <w:tab w:val="left" w:pos="480"/>
              </w:tabs>
              <w:spacing w:line="396" w:lineRule="exact"/>
              <w:jc w:val="center"/>
              <w:rPr>
                <w:rFonts w:hint="eastAsia" w:hAnsi="宋体" w:cs="宋体"/>
                <w:szCs w:val="21"/>
              </w:rPr>
            </w:pPr>
            <w:r>
              <w:rPr>
                <w:rFonts w:hint="eastAsia" w:hAnsi="宋体" w:cs="宋体"/>
                <w:szCs w:val="21"/>
              </w:rPr>
              <w:t>备注</w:t>
            </w:r>
          </w:p>
        </w:tc>
      </w:tr>
      <w:tr w14:paraId="24F43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4F578D35">
            <w:pPr>
              <w:tabs>
                <w:tab w:val="left" w:pos="480"/>
              </w:tabs>
              <w:spacing w:line="396" w:lineRule="exact"/>
              <w:jc w:val="center"/>
              <w:rPr>
                <w:rFonts w:hint="eastAsia" w:hAnsi="宋体" w:cs="宋体"/>
                <w:szCs w:val="21"/>
              </w:rPr>
            </w:pPr>
            <w:r>
              <w:rPr>
                <w:rFonts w:hint="eastAsia" w:hAnsi="宋体" w:cs="宋体"/>
                <w:szCs w:val="21"/>
              </w:rPr>
              <w:t>1</w:t>
            </w:r>
          </w:p>
        </w:tc>
        <w:tc>
          <w:tcPr>
            <w:tcW w:w="1855" w:type="dxa"/>
            <w:tcBorders>
              <w:top w:val="single" w:color="auto" w:sz="4" w:space="0"/>
              <w:left w:val="single" w:color="auto" w:sz="4" w:space="0"/>
              <w:bottom w:val="single" w:color="auto" w:sz="4" w:space="0"/>
              <w:right w:val="single" w:color="auto" w:sz="4" w:space="0"/>
            </w:tcBorders>
            <w:vAlign w:val="center"/>
          </w:tcPr>
          <w:p w14:paraId="26C1864C">
            <w:pPr>
              <w:tabs>
                <w:tab w:val="left" w:pos="480"/>
              </w:tabs>
              <w:spacing w:line="396" w:lineRule="exact"/>
              <w:jc w:val="center"/>
              <w:rPr>
                <w:rFonts w:hint="eastAsia" w:hAnsi="宋体" w:cs="宋体"/>
                <w:szCs w:val="21"/>
              </w:rPr>
            </w:pPr>
          </w:p>
        </w:tc>
        <w:tc>
          <w:tcPr>
            <w:tcW w:w="1421" w:type="dxa"/>
            <w:tcBorders>
              <w:top w:val="single" w:color="auto" w:sz="4" w:space="0"/>
              <w:left w:val="single" w:color="auto" w:sz="4" w:space="0"/>
              <w:bottom w:val="single" w:color="auto" w:sz="4" w:space="0"/>
              <w:right w:val="single" w:color="auto" w:sz="4" w:space="0"/>
            </w:tcBorders>
            <w:vAlign w:val="center"/>
          </w:tcPr>
          <w:p w14:paraId="7C27CA06">
            <w:pPr>
              <w:tabs>
                <w:tab w:val="left" w:pos="480"/>
              </w:tabs>
              <w:spacing w:line="396" w:lineRule="exact"/>
              <w:jc w:val="center"/>
              <w:rPr>
                <w:rFonts w:hint="eastAsia" w:hAnsi="宋体" w:cs="宋体"/>
                <w:szCs w:val="21"/>
              </w:rPr>
            </w:pPr>
          </w:p>
        </w:tc>
        <w:tc>
          <w:tcPr>
            <w:tcW w:w="2648" w:type="dxa"/>
            <w:tcBorders>
              <w:top w:val="single" w:color="auto" w:sz="4" w:space="0"/>
              <w:left w:val="single" w:color="auto" w:sz="4" w:space="0"/>
              <w:bottom w:val="single" w:color="auto" w:sz="4" w:space="0"/>
              <w:right w:val="single" w:color="auto" w:sz="4" w:space="0"/>
            </w:tcBorders>
            <w:vAlign w:val="center"/>
          </w:tcPr>
          <w:p w14:paraId="40C34FF6">
            <w:pPr>
              <w:tabs>
                <w:tab w:val="left" w:pos="480"/>
              </w:tabs>
              <w:spacing w:line="396" w:lineRule="exact"/>
              <w:jc w:val="center"/>
              <w:rPr>
                <w:rFonts w:hint="eastAsia" w:hAnsi="宋体" w:cs="宋体"/>
                <w:szCs w:val="21"/>
              </w:rPr>
            </w:pPr>
          </w:p>
        </w:tc>
        <w:tc>
          <w:tcPr>
            <w:tcW w:w="1096" w:type="dxa"/>
            <w:tcBorders>
              <w:top w:val="single" w:color="auto" w:sz="4" w:space="0"/>
              <w:left w:val="single" w:color="auto" w:sz="4" w:space="0"/>
              <w:bottom w:val="single" w:color="auto" w:sz="4" w:space="0"/>
              <w:right w:val="single" w:color="auto" w:sz="4" w:space="0"/>
            </w:tcBorders>
            <w:vAlign w:val="center"/>
          </w:tcPr>
          <w:p w14:paraId="271FA455">
            <w:pPr>
              <w:tabs>
                <w:tab w:val="left" w:pos="480"/>
              </w:tabs>
              <w:spacing w:line="396" w:lineRule="exact"/>
              <w:jc w:val="center"/>
              <w:rPr>
                <w:rFonts w:hint="eastAsia" w:hAnsi="宋体" w:cs="宋体"/>
                <w:szCs w:val="21"/>
              </w:rPr>
            </w:pPr>
          </w:p>
        </w:tc>
      </w:tr>
      <w:tr w14:paraId="68B5F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16FBA210">
            <w:pPr>
              <w:tabs>
                <w:tab w:val="left" w:pos="480"/>
              </w:tabs>
              <w:spacing w:line="396" w:lineRule="exact"/>
              <w:jc w:val="center"/>
              <w:rPr>
                <w:rFonts w:hint="eastAsia" w:hAnsi="宋体" w:cs="宋体"/>
                <w:szCs w:val="21"/>
              </w:rPr>
            </w:pPr>
            <w:r>
              <w:rPr>
                <w:rFonts w:hint="eastAsia" w:hAnsi="宋体" w:cs="宋体"/>
                <w:szCs w:val="21"/>
              </w:rPr>
              <w:t>……</w:t>
            </w:r>
          </w:p>
        </w:tc>
        <w:tc>
          <w:tcPr>
            <w:tcW w:w="1855" w:type="dxa"/>
            <w:tcBorders>
              <w:top w:val="single" w:color="auto" w:sz="4" w:space="0"/>
              <w:left w:val="single" w:color="auto" w:sz="4" w:space="0"/>
              <w:bottom w:val="single" w:color="auto" w:sz="4" w:space="0"/>
              <w:right w:val="single" w:color="auto" w:sz="4" w:space="0"/>
            </w:tcBorders>
            <w:vAlign w:val="center"/>
          </w:tcPr>
          <w:p w14:paraId="15E91A83">
            <w:pPr>
              <w:tabs>
                <w:tab w:val="left" w:pos="480"/>
              </w:tabs>
              <w:spacing w:line="396" w:lineRule="exact"/>
              <w:jc w:val="center"/>
              <w:rPr>
                <w:rFonts w:hint="eastAsia" w:hAnsi="宋体" w:cs="宋体"/>
                <w:szCs w:val="21"/>
              </w:rPr>
            </w:pPr>
          </w:p>
        </w:tc>
        <w:tc>
          <w:tcPr>
            <w:tcW w:w="1421" w:type="dxa"/>
            <w:tcBorders>
              <w:top w:val="single" w:color="auto" w:sz="4" w:space="0"/>
              <w:left w:val="single" w:color="auto" w:sz="4" w:space="0"/>
              <w:bottom w:val="single" w:color="auto" w:sz="4" w:space="0"/>
              <w:right w:val="single" w:color="auto" w:sz="4" w:space="0"/>
            </w:tcBorders>
            <w:vAlign w:val="center"/>
          </w:tcPr>
          <w:p w14:paraId="3AF07FEF">
            <w:pPr>
              <w:tabs>
                <w:tab w:val="left" w:pos="480"/>
              </w:tabs>
              <w:spacing w:line="396" w:lineRule="exact"/>
              <w:jc w:val="center"/>
              <w:rPr>
                <w:rFonts w:hint="eastAsia" w:hAnsi="宋体" w:cs="宋体"/>
                <w:szCs w:val="21"/>
              </w:rPr>
            </w:pPr>
          </w:p>
        </w:tc>
        <w:tc>
          <w:tcPr>
            <w:tcW w:w="2648" w:type="dxa"/>
            <w:tcBorders>
              <w:top w:val="single" w:color="auto" w:sz="4" w:space="0"/>
              <w:left w:val="single" w:color="auto" w:sz="4" w:space="0"/>
              <w:bottom w:val="single" w:color="auto" w:sz="4" w:space="0"/>
              <w:right w:val="single" w:color="auto" w:sz="4" w:space="0"/>
            </w:tcBorders>
            <w:vAlign w:val="center"/>
          </w:tcPr>
          <w:p w14:paraId="75840DDD">
            <w:pPr>
              <w:tabs>
                <w:tab w:val="left" w:pos="480"/>
              </w:tabs>
              <w:spacing w:line="396" w:lineRule="exact"/>
              <w:jc w:val="center"/>
              <w:rPr>
                <w:rFonts w:hint="eastAsia" w:hAnsi="宋体" w:cs="宋体"/>
                <w:szCs w:val="21"/>
              </w:rPr>
            </w:pPr>
          </w:p>
        </w:tc>
        <w:tc>
          <w:tcPr>
            <w:tcW w:w="1096" w:type="dxa"/>
            <w:tcBorders>
              <w:top w:val="single" w:color="auto" w:sz="4" w:space="0"/>
              <w:left w:val="single" w:color="auto" w:sz="4" w:space="0"/>
              <w:bottom w:val="single" w:color="auto" w:sz="4" w:space="0"/>
              <w:right w:val="single" w:color="auto" w:sz="4" w:space="0"/>
            </w:tcBorders>
            <w:vAlign w:val="center"/>
          </w:tcPr>
          <w:p w14:paraId="014FCE05">
            <w:pPr>
              <w:tabs>
                <w:tab w:val="left" w:pos="480"/>
              </w:tabs>
              <w:spacing w:line="396" w:lineRule="exact"/>
              <w:jc w:val="center"/>
              <w:rPr>
                <w:rFonts w:hint="eastAsia" w:hAnsi="宋体" w:cs="宋体"/>
                <w:szCs w:val="21"/>
              </w:rPr>
            </w:pPr>
          </w:p>
        </w:tc>
      </w:tr>
    </w:tbl>
    <w:p w14:paraId="13061188">
      <w:pPr>
        <w:tabs>
          <w:tab w:val="left" w:pos="480"/>
        </w:tabs>
        <w:spacing w:line="360" w:lineRule="auto"/>
        <w:outlineLvl w:val="1"/>
        <w:rPr>
          <w:rFonts w:hint="eastAsia" w:hAnsi="宋体" w:cs="宋体"/>
          <w:b/>
          <w:szCs w:val="21"/>
        </w:rPr>
      </w:pPr>
      <w:bookmarkStart w:id="9" w:name="_Toc8887"/>
      <w:bookmarkStart w:id="10" w:name="_Toc4137"/>
      <w:bookmarkStart w:id="11" w:name="_Toc3926"/>
      <w:r>
        <w:rPr>
          <w:rFonts w:hint="eastAsia" w:hAnsi="宋体" w:cs="宋体"/>
          <w:b/>
          <w:szCs w:val="21"/>
        </w:rPr>
        <w:t>二、合同价款</w:t>
      </w:r>
      <w:bookmarkEnd w:id="9"/>
      <w:bookmarkEnd w:id="10"/>
      <w:bookmarkEnd w:id="11"/>
    </w:p>
    <w:p w14:paraId="55587B28">
      <w:pPr>
        <w:tabs>
          <w:tab w:val="left" w:pos="480"/>
        </w:tabs>
        <w:spacing w:line="360" w:lineRule="auto"/>
        <w:ind w:firstLine="480" w:firstLineChars="200"/>
        <w:rPr>
          <w:rFonts w:hint="eastAsia" w:hAnsi="宋体" w:cs="宋体"/>
          <w:szCs w:val="21"/>
          <w:u w:val="single"/>
        </w:rPr>
      </w:pPr>
      <w:r>
        <w:rPr>
          <w:rFonts w:hint="eastAsia" w:hAnsi="宋体" w:cs="宋体"/>
          <w:szCs w:val="21"/>
        </w:rPr>
        <w:t>（一）本合同为总价合同，各项活动服务的合同总价为其磋商最终报价。</w:t>
      </w:r>
    </w:p>
    <w:p w14:paraId="285F39B0">
      <w:pPr>
        <w:tabs>
          <w:tab w:val="left" w:pos="480"/>
        </w:tabs>
        <w:spacing w:line="360" w:lineRule="auto"/>
        <w:ind w:firstLine="480" w:firstLineChars="200"/>
        <w:rPr>
          <w:rFonts w:hint="eastAsia" w:hAnsi="宋体" w:cs="宋体"/>
          <w:szCs w:val="21"/>
        </w:rPr>
      </w:pPr>
      <w:r>
        <w:rPr>
          <w:rFonts w:hint="eastAsia" w:hAnsi="宋体" w:cs="宋体"/>
          <w:szCs w:val="21"/>
        </w:rPr>
        <w:t>（二）合同价包括：</w:t>
      </w:r>
    </w:p>
    <w:p w14:paraId="0DF18FD2">
      <w:pPr>
        <w:tabs>
          <w:tab w:val="left" w:pos="480"/>
        </w:tabs>
        <w:spacing w:line="360" w:lineRule="auto"/>
        <w:outlineLvl w:val="1"/>
        <w:rPr>
          <w:rFonts w:hint="eastAsia" w:hAnsi="宋体" w:cs="宋体"/>
          <w:b/>
          <w:szCs w:val="21"/>
        </w:rPr>
      </w:pPr>
      <w:bookmarkStart w:id="12" w:name="_Toc23247"/>
      <w:bookmarkStart w:id="13" w:name="_Toc6296"/>
      <w:bookmarkStart w:id="14" w:name="_Toc28664"/>
      <w:r>
        <w:rPr>
          <w:rFonts w:hint="eastAsia" w:hAnsi="宋体" w:cs="宋体"/>
          <w:b/>
          <w:szCs w:val="21"/>
        </w:rPr>
        <w:t>三、款项结算</w:t>
      </w:r>
      <w:bookmarkEnd w:id="12"/>
      <w:bookmarkEnd w:id="13"/>
      <w:bookmarkEnd w:id="14"/>
    </w:p>
    <w:p w14:paraId="1B5717B6">
      <w:pPr>
        <w:tabs>
          <w:tab w:val="left" w:pos="480"/>
        </w:tabs>
        <w:spacing w:line="360" w:lineRule="auto"/>
        <w:ind w:firstLine="480" w:firstLineChars="200"/>
        <w:rPr>
          <w:rFonts w:hint="eastAsia" w:hAnsi="宋体" w:cs="宋体"/>
          <w:szCs w:val="21"/>
        </w:rPr>
      </w:pPr>
      <w:r>
        <w:rPr>
          <w:rFonts w:hint="eastAsia" w:hAnsi="宋体" w:cs="宋体"/>
          <w:szCs w:val="21"/>
        </w:rPr>
        <w:t>详见合同前附表。</w:t>
      </w:r>
    </w:p>
    <w:p w14:paraId="5C4E5F53">
      <w:pPr>
        <w:tabs>
          <w:tab w:val="left" w:pos="480"/>
        </w:tabs>
        <w:spacing w:line="360" w:lineRule="auto"/>
        <w:outlineLvl w:val="1"/>
        <w:rPr>
          <w:rFonts w:hint="eastAsia" w:hAnsi="宋体" w:cs="宋体"/>
          <w:szCs w:val="21"/>
        </w:rPr>
      </w:pPr>
      <w:bookmarkStart w:id="15" w:name="_Toc24406"/>
      <w:bookmarkStart w:id="16" w:name="_Toc21714"/>
      <w:bookmarkStart w:id="17" w:name="_Toc21110"/>
      <w:r>
        <w:rPr>
          <w:rFonts w:hint="eastAsia" w:hAnsi="宋体" w:cs="宋体"/>
          <w:b/>
          <w:szCs w:val="21"/>
        </w:rPr>
        <w:t>四、服务条件：</w:t>
      </w:r>
      <w:bookmarkEnd w:id="15"/>
      <w:bookmarkEnd w:id="16"/>
      <w:bookmarkEnd w:id="17"/>
    </w:p>
    <w:p w14:paraId="442B024F">
      <w:pPr>
        <w:tabs>
          <w:tab w:val="left" w:pos="480"/>
        </w:tabs>
        <w:spacing w:line="360" w:lineRule="auto"/>
        <w:ind w:firstLine="480" w:firstLineChars="200"/>
        <w:rPr>
          <w:rFonts w:hint="eastAsia" w:hAnsi="宋体" w:cs="宋体"/>
          <w:szCs w:val="21"/>
        </w:rPr>
      </w:pPr>
      <w:r>
        <w:rPr>
          <w:rFonts w:hint="eastAsia" w:hAnsi="宋体" w:cs="宋体"/>
          <w:szCs w:val="21"/>
        </w:rPr>
        <w:t>（一）服务地点：甲方指定地点。</w:t>
      </w:r>
    </w:p>
    <w:p w14:paraId="7485F75D">
      <w:pPr>
        <w:tabs>
          <w:tab w:val="left" w:pos="480"/>
        </w:tabs>
        <w:spacing w:line="360" w:lineRule="auto"/>
        <w:ind w:firstLine="480" w:firstLineChars="200"/>
        <w:rPr>
          <w:rFonts w:hint="eastAsia" w:hAnsi="宋体" w:cs="宋体"/>
          <w:szCs w:val="21"/>
        </w:rPr>
      </w:pPr>
      <w:r>
        <w:rPr>
          <w:rFonts w:hint="eastAsia" w:hAnsi="宋体" w:cs="宋体"/>
          <w:szCs w:val="21"/>
        </w:rPr>
        <w:t>（二）服务期：自合同签订之日起</w:t>
      </w:r>
      <w:r>
        <w:rPr>
          <w:rFonts w:hint="eastAsia" w:hAnsi="宋体" w:cs="宋体"/>
          <w:szCs w:val="21"/>
          <w:u w:val="single"/>
        </w:rPr>
        <w:t xml:space="preserve">     </w:t>
      </w:r>
      <w:r>
        <w:rPr>
          <w:rFonts w:hint="eastAsia" w:hAnsi="宋体" w:cs="宋体"/>
          <w:szCs w:val="21"/>
        </w:rPr>
        <w:t>。</w:t>
      </w:r>
    </w:p>
    <w:p w14:paraId="7D8E776F">
      <w:pPr>
        <w:tabs>
          <w:tab w:val="left" w:pos="480"/>
        </w:tabs>
        <w:spacing w:line="360" w:lineRule="auto"/>
        <w:outlineLvl w:val="1"/>
        <w:rPr>
          <w:rFonts w:hint="eastAsia" w:hAnsi="宋体" w:cs="宋体"/>
          <w:b/>
          <w:szCs w:val="21"/>
        </w:rPr>
      </w:pPr>
      <w:bookmarkStart w:id="18" w:name="_Toc27382"/>
      <w:bookmarkStart w:id="19" w:name="_Toc7966"/>
      <w:bookmarkStart w:id="20" w:name="_Toc32459"/>
      <w:r>
        <w:rPr>
          <w:rFonts w:hint="eastAsia" w:hAnsi="宋体" w:cs="宋体"/>
          <w:b/>
          <w:szCs w:val="21"/>
        </w:rPr>
        <w:t>五、质量保证</w:t>
      </w:r>
      <w:bookmarkEnd w:id="18"/>
      <w:bookmarkEnd w:id="19"/>
      <w:bookmarkEnd w:id="20"/>
    </w:p>
    <w:p w14:paraId="7518F081">
      <w:pPr>
        <w:tabs>
          <w:tab w:val="left" w:pos="480"/>
        </w:tabs>
        <w:spacing w:line="360" w:lineRule="auto"/>
        <w:ind w:firstLine="470" w:firstLineChars="196"/>
        <w:rPr>
          <w:rFonts w:hint="eastAsia" w:hAnsi="宋体" w:cs="宋体"/>
          <w:szCs w:val="21"/>
        </w:rPr>
      </w:pPr>
      <w:r>
        <w:rPr>
          <w:rFonts w:hint="eastAsia" w:hAnsi="宋体" w:cs="宋体"/>
          <w:szCs w:val="21"/>
        </w:rPr>
        <w:t>1.乙方所提供的服务保证技术指标符合要求、质量性能可靠、必须符合国家相关法律法规的要求。</w:t>
      </w:r>
    </w:p>
    <w:p w14:paraId="4CE8DC68">
      <w:pPr>
        <w:tabs>
          <w:tab w:val="left" w:pos="480"/>
        </w:tabs>
        <w:spacing w:line="360" w:lineRule="auto"/>
        <w:ind w:firstLine="470" w:firstLineChars="196"/>
        <w:rPr>
          <w:rFonts w:hint="eastAsia" w:hAnsi="宋体" w:cs="宋体"/>
          <w:szCs w:val="21"/>
        </w:rPr>
      </w:pPr>
      <w:r>
        <w:rPr>
          <w:rFonts w:hint="eastAsia" w:hAnsi="宋体" w:cs="宋体"/>
          <w:szCs w:val="21"/>
        </w:rPr>
        <w:t>2、成交单位应当保证其具有完成本项目所要求的服务所必须具备的专业设备和服务能力。</w:t>
      </w:r>
    </w:p>
    <w:p w14:paraId="1D03AF0E">
      <w:pPr>
        <w:tabs>
          <w:tab w:val="left" w:pos="480"/>
        </w:tabs>
        <w:spacing w:line="360" w:lineRule="auto"/>
        <w:outlineLvl w:val="1"/>
        <w:rPr>
          <w:rFonts w:hint="eastAsia" w:hAnsi="宋体" w:cs="宋体"/>
          <w:b/>
          <w:szCs w:val="21"/>
        </w:rPr>
      </w:pPr>
      <w:bookmarkStart w:id="21" w:name="_Toc21314"/>
      <w:bookmarkStart w:id="22" w:name="_Toc9903"/>
      <w:bookmarkStart w:id="23" w:name="_Toc12558"/>
      <w:r>
        <w:rPr>
          <w:rFonts w:hint="eastAsia" w:hAnsi="宋体" w:cs="宋体"/>
          <w:b/>
          <w:szCs w:val="21"/>
        </w:rPr>
        <w:t>六、技术与服务</w:t>
      </w:r>
      <w:bookmarkEnd w:id="21"/>
      <w:bookmarkEnd w:id="22"/>
      <w:bookmarkEnd w:id="23"/>
    </w:p>
    <w:p w14:paraId="792CE8FA">
      <w:pPr>
        <w:tabs>
          <w:tab w:val="left" w:pos="480"/>
        </w:tabs>
        <w:spacing w:line="360" w:lineRule="auto"/>
        <w:ind w:firstLine="480" w:firstLineChars="200"/>
        <w:rPr>
          <w:rFonts w:hint="eastAsia" w:hAnsi="宋体" w:cs="宋体"/>
          <w:szCs w:val="21"/>
        </w:rPr>
      </w:pPr>
      <w:r>
        <w:rPr>
          <w:rFonts w:hint="eastAsia" w:hAnsi="宋体" w:cs="宋体"/>
          <w:szCs w:val="21"/>
        </w:rPr>
        <w:t>（一）技术资料：</w:t>
      </w:r>
    </w:p>
    <w:p w14:paraId="6CAF0BE9">
      <w:pPr>
        <w:tabs>
          <w:tab w:val="left" w:pos="480"/>
        </w:tabs>
        <w:spacing w:line="360" w:lineRule="auto"/>
        <w:ind w:firstLine="480" w:firstLineChars="200"/>
        <w:rPr>
          <w:rFonts w:hint="eastAsia" w:hAnsi="宋体" w:cs="宋体"/>
          <w:szCs w:val="21"/>
        </w:rPr>
      </w:pPr>
      <w:r>
        <w:rPr>
          <w:rFonts w:hint="eastAsia" w:hAnsi="宋体" w:cs="宋体"/>
          <w:szCs w:val="21"/>
        </w:rPr>
        <w:t>技术资料：</w:t>
      </w:r>
    </w:p>
    <w:p w14:paraId="69BA6779">
      <w:pPr>
        <w:tabs>
          <w:tab w:val="left" w:pos="480"/>
        </w:tabs>
        <w:spacing w:line="360" w:lineRule="auto"/>
        <w:ind w:firstLine="480" w:firstLineChars="200"/>
        <w:rPr>
          <w:rFonts w:hint="eastAsia" w:hAnsi="宋体" w:cs="宋体"/>
          <w:szCs w:val="21"/>
        </w:rPr>
      </w:pPr>
      <w:r>
        <w:rPr>
          <w:rFonts w:hint="eastAsia" w:hAnsi="宋体" w:cs="宋体"/>
          <w:szCs w:val="21"/>
        </w:rPr>
        <w:t>成交供应商应随同服务提供相应的中文成果技术文件，成果文件需要以纸质文件及电子版的形式移交给甲方，纸质成果文件需要移交10份。</w:t>
      </w:r>
    </w:p>
    <w:p w14:paraId="76AFF52A">
      <w:pPr>
        <w:tabs>
          <w:tab w:val="left" w:pos="480"/>
        </w:tabs>
        <w:spacing w:line="360" w:lineRule="auto"/>
        <w:ind w:firstLine="480" w:firstLineChars="200"/>
      </w:pPr>
      <w:r>
        <w:rPr>
          <w:rFonts w:hint="eastAsia" w:hAnsi="宋体" w:cs="宋体"/>
          <w:szCs w:val="21"/>
        </w:rPr>
        <w:t>（二）服务承诺：以竞争性磋商响应文件、澄清表（函）、合同和随货物的相关文件为准。</w:t>
      </w:r>
    </w:p>
    <w:p w14:paraId="445ABA11">
      <w:pPr>
        <w:tabs>
          <w:tab w:val="left" w:pos="480"/>
        </w:tabs>
        <w:spacing w:line="360" w:lineRule="auto"/>
        <w:outlineLvl w:val="1"/>
        <w:rPr>
          <w:rFonts w:hint="eastAsia" w:hAnsi="宋体" w:cs="宋体"/>
          <w:b/>
          <w:szCs w:val="21"/>
        </w:rPr>
      </w:pPr>
      <w:bookmarkStart w:id="24" w:name="_Toc12975"/>
      <w:bookmarkStart w:id="25" w:name="_Toc14409"/>
      <w:bookmarkStart w:id="26" w:name="_Toc22161"/>
      <w:r>
        <w:rPr>
          <w:rFonts w:hint="eastAsia" w:hAnsi="宋体" w:cs="宋体"/>
          <w:b/>
          <w:szCs w:val="21"/>
        </w:rPr>
        <w:t>七、验收</w:t>
      </w:r>
      <w:bookmarkEnd w:id="24"/>
      <w:bookmarkEnd w:id="25"/>
      <w:bookmarkEnd w:id="26"/>
    </w:p>
    <w:p w14:paraId="622FAAA4">
      <w:pPr>
        <w:spacing w:line="360" w:lineRule="auto"/>
        <w:ind w:firstLine="480" w:firstLineChars="200"/>
      </w:pPr>
      <w:r>
        <w:rPr>
          <w:rFonts w:hint="eastAsia"/>
        </w:rPr>
        <w:t>1、所验服务最终验收达不到磋商文件要求和磋商响应文件承诺及国家或行业标准的，或在使用中发现甲方不能容忍的缺陷等，将视为验收不合格，乙方应在甲方要求的时间内无条件完善或要求赔付甲方损失。</w:t>
      </w:r>
    </w:p>
    <w:p w14:paraId="797F59A1">
      <w:pPr>
        <w:spacing w:line="360" w:lineRule="auto"/>
        <w:ind w:firstLine="480" w:firstLineChars="200"/>
      </w:pPr>
      <w:r>
        <w:rPr>
          <w:rFonts w:hint="eastAsia"/>
        </w:rPr>
        <w:t>2、若发现乙方有弄虚作假的，及在项目实施阶段故意或随意夸大服务，本合同解除，乙方赔偿甲方相应的损失。</w:t>
      </w:r>
    </w:p>
    <w:p w14:paraId="63BEFC75">
      <w:pPr>
        <w:spacing w:line="360" w:lineRule="auto"/>
        <w:ind w:firstLine="480" w:firstLineChars="200"/>
      </w:pPr>
      <w:r>
        <w:rPr>
          <w:rFonts w:hint="eastAsia"/>
        </w:rPr>
        <w:t>3、验收标准：按磋商文件、磋商响应文件及磋商记录表等技术指标进行逐项验收。各项指标均应符合验收标准及要求。</w:t>
      </w:r>
    </w:p>
    <w:p w14:paraId="4C72A001">
      <w:pPr>
        <w:tabs>
          <w:tab w:val="left" w:pos="480"/>
        </w:tabs>
        <w:spacing w:line="360" w:lineRule="auto"/>
        <w:outlineLvl w:val="1"/>
        <w:rPr>
          <w:rFonts w:hint="eastAsia" w:hAnsi="宋体" w:cs="宋体"/>
          <w:b/>
          <w:szCs w:val="21"/>
        </w:rPr>
      </w:pPr>
      <w:bookmarkStart w:id="27" w:name="_Toc20026"/>
      <w:bookmarkStart w:id="28" w:name="_Toc9858"/>
      <w:bookmarkStart w:id="29" w:name="_Toc30681"/>
      <w:r>
        <w:rPr>
          <w:rFonts w:hint="eastAsia" w:hAnsi="宋体" w:cs="宋体"/>
          <w:b/>
          <w:szCs w:val="21"/>
        </w:rPr>
        <w:t>八、违约责任</w:t>
      </w:r>
      <w:bookmarkEnd w:id="27"/>
      <w:bookmarkEnd w:id="28"/>
      <w:bookmarkEnd w:id="29"/>
    </w:p>
    <w:p w14:paraId="58F01981">
      <w:pPr>
        <w:tabs>
          <w:tab w:val="left" w:pos="480"/>
        </w:tabs>
        <w:spacing w:line="360" w:lineRule="auto"/>
        <w:ind w:firstLine="480" w:firstLineChars="200"/>
        <w:rPr>
          <w:rFonts w:hint="eastAsia" w:hAnsi="宋体" w:cs="宋体"/>
          <w:szCs w:val="21"/>
        </w:rPr>
      </w:pPr>
      <w:r>
        <w:rPr>
          <w:rFonts w:hint="eastAsia" w:hAnsi="宋体" w:cs="宋体"/>
          <w:szCs w:val="21"/>
        </w:rPr>
        <w:t>1、按《中华人民共和国民法典》中的相关条款执行。</w:t>
      </w:r>
    </w:p>
    <w:p w14:paraId="658DD7CD">
      <w:pPr>
        <w:tabs>
          <w:tab w:val="left" w:pos="480"/>
        </w:tabs>
        <w:spacing w:line="360" w:lineRule="auto"/>
        <w:ind w:firstLine="480" w:firstLineChars="200"/>
        <w:rPr>
          <w:rFonts w:hint="eastAsia" w:hAnsi="宋体" w:cs="宋体"/>
          <w:szCs w:val="21"/>
        </w:rPr>
      </w:pPr>
      <w:r>
        <w:rPr>
          <w:rFonts w:hint="eastAsia" w:hAnsi="宋体" w:cs="宋体"/>
          <w:szCs w:val="21"/>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中华人民共和国政府采购法》及相关法律法规对服务商的违法行为进行相应的处罚。</w:t>
      </w:r>
    </w:p>
    <w:p w14:paraId="0C6AB308">
      <w:pPr>
        <w:tabs>
          <w:tab w:val="left" w:pos="480"/>
        </w:tabs>
        <w:spacing w:line="360" w:lineRule="auto"/>
        <w:outlineLvl w:val="1"/>
        <w:rPr>
          <w:rFonts w:hint="eastAsia" w:hAnsi="宋体" w:cs="宋体"/>
          <w:b/>
          <w:szCs w:val="21"/>
        </w:rPr>
      </w:pPr>
      <w:bookmarkStart w:id="30" w:name="_Toc15856"/>
      <w:bookmarkStart w:id="31" w:name="_Toc27523"/>
      <w:bookmarkStart w:id="32" w:name="_Toc13662"/>
      <w:r>
        <w:rPr>
          <w:rFonts w:hint="eastAsia" w:hAnsi="宋体" w:cs="宋体"/>
          <w:b/>
          <w:szCs w:val="21"/>
        </w:rPr>
        <w:t>九、合同争议解决的方式</w:t>
      </w:r>
      <w:bookmarkEnd w:id="30"/>
      <w:bookmarkEnd w:id="31"/>
      <w:bookmarkEnd w:id="32"/>
    </w:p>
    <w:p w14:paraId="278B6994">
      <w:pPr>
        <w:tabs>
          <w:tab w:val="left" w:pos="480"/>
        </w:tabs>
        <w:spacing w:line="360" w:lineRule="auto"/>
        <w:ind w:firstLine="480" w:firstLineChars="200"/>
        <w:rPr>
          <w:rFonts w:hint="eastAsia" w:hAnsi="宋体" w:cs="宋体"/>
          <w:szCs w:val="21"/>
        </w:rPr>
      </w:pPr>
      <w:r>
        <w:rPr>
          <w:rFonts w:hint="eastAsia" w:hAnsi="宋体" w:cs="宋体"/>
          <w:szCs w:val="21"/>
        </w:rPr>
        <w:t>本合同在履行过程中发生的争议，由甲、乙双方当事人协商解决，协商不成的按下列第</w:t>
      </w:r>
      <w:r>
        <w:rPr>
          <w:rFonts w:hint="eastAsia" w:hAnsi="宋体" w:cs="宋体"/>
          <w:szCs w:val="21"/>
          <w:u w:val="single"/>
        </w:rPr>
        <w:t xml:space="preserve">    </w:t>
      </w:r>
      <w:r>
        <w:rPr>
          <w:rFonts w:hint="eastAsia" w:hAnsi="宋体" w:cs="宋体"/>
          <w:szCs w:val="21"/>
        </w:rPr>
        <w:t>种方式解决：</w:t>
      </w:r>
    </w:p>
    <w:p w14:paraId="5D238A84">
      <w:pPr>
        <w:tabs>
          <w:tab w:val="left" w:pos="480"/>
        </w:tabs>
        <w:spacing w:line="360" w:lineRule="auto"/>
        <w:ind w:firstLine="480" w:firstLineChars="200"/>
        <w:rPr>
          <w:rFonts w:hint="eastAsia" w:hAnsi="宋体" w:cs="宋体"/>
          <w:szCs w:val="21"/>
        </w:rPr>
      </w:pPr>
      <w:r>
        <w:rPr>
          <w:rFonts w:hint="eastAsia" w:hAnsi="宋体" w:cs="宋体"/>
          <w:szCs w:val="21"/>
        </w:rPr>
        <w:t>（一）提交</w:t>
      </w:r>
      <w:r>
        <w:rPr>
          <w:rFonts w:hint="eastAsia" w:hAnsi="宋体" w:cs="宋体"/>
          <w:szCs w:val="21"/>
          <w:u w:val="single"/>
        </w:rPr>
        <w:t xml:space="preserve">        </w:t>
      </w:r>
      <w:r>
        <w:rPr>
          <w:rFonts w:hint="eastAsia" w:hAnsi="宋体" w:cs="宋体"/>
          <w:szCs w:val="21"/>
        </w:rPr>
        <w:t>仲裁委员会仲裁；</w:t>
      </w:r>
    </w:p>
    <w:p w14:paraId="6D13DDA1">
      <w:pPr>
        <w:tabs>
          <w:tab w:val="left" w:pos="480"/>
        </w:tabs>
        <w:spacing w:line="360" w:lineRule="auto"/>
        <w:ind w:firstLine="480" w:firstLineChars="200"/>
        <w:rPr>
          <w:rFonts w:hint="eastAsia" w:hAnsi="宋体" w:cs="宋体"/>
          <w:szCs w:val="21"/>
        </w:rPr>
      </w:pPr>
      <w:r>
        <w:rPr>
          <w:rFonts w:hint="eastAsia" w:hAnsi="宋体" w:cs="宋体"/>
          <w:szCs w:val="21"/>
        </w:rPr>
        <w:t xml:space="preserve">（二）依法向 </w:t>
      </w:r>
      <w:r>
        <w:rPr>
          <w:rFonts w:hint="eastAsia" w:hAnsi="宋体" w:cs="宋体"/>
          <w:szCs w:val="21"/>
          <w:u w:val="single"/>
        </w:rPr>
        <w:t xml:space="preserve">       </w:t>
      </w:r>
      <w:r>
        <w:rPr>
          <w:rFonts w:hint="eastAsia" w:hAnsi="宋体" w:cs="宋体"/>
          <w:szCs w:val="21"/>
        </w:rPr>
        <w:t>所在地人民法院起诉。</w:t>
      </w:r>
    </w:p>
    <w:p w14:paraId="7FB0DA6B">
      <w:pPr>
        <w:tabs>
          <w:tab w:val="left" w:pos="480"/>
        </w:tabs>
        <w:spacing w:line="360" w:lineRule="auto"/>
        <w:outlineLvl w:val="1"/>
        <w:rPr>
          <w:rFonts w:hint="eastAsia" w:hAnsi="宋体" w:cs="宋体"/>
          <w:b/>
          <w:szCs w:val="21"/>
        </w:rPr>
      </w:pPr>
      <w:bookmarkStart w:id="33" w:name="_Toc2858"/>
      <w:bookmarkStart w:id="34" w:name="_Toc18389"/>
      <w:bookmarkStart w:id="35" w:name="_Toc7342"/>
      <w:r>
        <w:rPr>
          <w:rFonts w:hint="eastAsia" w:hAnsi="宋体" w:cs="宋体"/>
          <w:b/>
          <w:szCs w:val="21"/>
        </w:rPr>
        <w:t>十、合同生效</w:t>
      </w:r>
      <w:bookmarkEnd w:id="33"/>
      <w:bookmarkEnd w:id="34"/>
      <w:bookmarkEnd w:id="35"/>
    </w:p>
    <w:p w14:paraId="574174CB">
      <w:pPr>
        <w:tabs>
          <w:tab w:val="left" w:pos="480"/>
        </w:tabs>
        <w:spacing w:line="360" w:lineRule="auto"/>
        <w:ind w:firstLine="480" w:firstLineChars="200"/>
        <w:rPr>
          <w:rFonts w:hint="eastAsia" w:hAnsi="宋体" w:cs="宋体"/>
          <w:szCs w:val="21"/>
        </w:rPr>
      </w:pPr>
      <w:r>
        <w:rPr>
          <w:rFonts w:hint="eastAsia" w:hAnsi="宋体" w:cs="宋体"/>
          <w:szCs w:val="21"/>
        </w:rPr>
        <w:t>本合同一式</w:t>
      </w:r>
      <w:r>
        <w:rPr>
          <w:rFonts w:hint="eastAsia" w:hAnsi="宋体" w:cs="宋体"/>
          <w:szCs w:val="21"/>
          <w:u w:val="single"/>
        </w:rPr>
        <w:t xml:space="preserve">   </w:t>
      </w:r>
      <w:r>
        <w:rPr>
          <w:rFonts w:hint="eastAsia" w:hAnsi="宋体" w:cs="宋体"/>
          <w:szCs w:val="21"/>
        </w:rPr>
        <w:t>份，甲方执</w:t>
      </w:r>
      <w:r>
        <w:rPr>
          <w:rFonts w:hint="eastAsia" w:hAnsi="宋体" w:cs="宋体"/>
          <w:szCs w:val="21"/>
          <w:u w:val="single"/>
        </w:rPr>
        <w:t xml:space="preserve">   </w:t>
      </w:r>
      <w:r>
        <w:rPr>
          <w:rFonts w:hint="eastAsia" w:hAnsi="宋体" w:cs="宋体"/>
          <w:szCs w:val="21"/>
        </w:rPr>
        <w:t>份，乙方执</w:t>
      </w:r>
      <w:r>
        <w:rPr>
          <w:rFonts w:hint="eastAsia" w:hAnsi="宋体" w:cs="宋体"/>
          <w:szCs w:val="21"/>
          <w:u w:val="single"/>
        </w:rPr>
        <w:t xml:space="preserve">    </w:t>
      </w:r>
      <w:r>
        <w:rPr>
          <w:rFonts w:hint="eastAsia" w:hAnsi="宋体" w:cs="宋体"/>
          <w:szCs w:val="21"/>
        </w:rPr>
        <w:t>份，本合同甲、乙、确认各方签字盖章后生效，合同执行完毕后，自动失效（合同的服务承诺则长期有效）。</w:t>
      </w:r>
    </w:p>
    <w:p w14:paraId="4216B35B">
      <w:pPr>
        <w:tabs>
          <w:tab w:val="left" w:pos="480"/>
        </w:tabs>
        <w:spacing w:line="360" w:lineRule="auto"/>
        <w:outlineLvl w:val="1"/>
        <w:rPr>
          <w:rFonts w:hint="eastAsia" w:hAnsi="宋体" w:cs="宋体"/>
          <w:b/>
          <w:szCs w:val="21"/>
        </w:rPr>
      </w:pPr>
      <w:bookmarkStart w:id="36" w:name="_Toc18381"/>
      <w:bookmarkStart w:id="37" w:name="_Toc823"/>
      <w:bookmarkStart w:id="38" w:name="_Toc18225"/>
      <w:r>
        <w:rPr>
          <w:rFonts w:hint="eastAsia" w:hAnsi="宋体" w:cs="宋体"/>
          <w:b/>
          <w:szCs w:val="21"/>
        </w:rPr>
        <w:t>十一、其他事项</w:t>
      </w:r>
      <w:bookmarkEnd w:id="36"/>
      <w:bookmarkEnd w:id="37"/>
      <w:bookmarkEnd w:id="38"/>
    </w:p>
    <w:p w14:paraId="10BCC108">
      <w:pPr>
        <w:tabs>
          <w:tab w:val="left" w:pos="480"/>
        </w:tabs>
        <w:spacing w:line="360" w:lineRule="auto"/>
        <w:ind w:firstLine="480" w:firstLineChars="200"/>
        <w:rPr>
          <w:rFonts w:hint="eastAsia" w:hAnsi="宋体" w:cs="宋体"/>
          <w:szCs w:val="21"/>
        </w:rPr>
      </w:pPr>
      <w:r>
        <w:rPr>
          <w:rFonts w:hint="eastAsia" w:hAnsi="宋体" w:cs="宋体"/>
          <w:szCs w:val="21"/>
        </w:rPr>
        <w:t>（一）竞争性磋商文件、竞争性磋商响应文件、澄清表（函）、成交通知书、合同附件均成为合同不可分割的部分。</w:t>
      </w:r>
    </w:p>
    <w:p w14:paraId="310CEC45">
      <w:pPr>
        <w:tabs>
          <w:tab w:val="left" w:pos="480"/>
        </w:tabs>
        <w:spacing w:line="360" w:lineRule="auto"/>
        <w:ind w:firstLine="480" w:firstLineChars="200"/>
        <w:rPr>
          <w:rFonts w:hint="eastAsia" w:hAnsi="宋体" w:cs="宋体"/>
          <w:szCs w:val="21"/>
        </w:rPr>
      </w:pPr>
      <w:r>
        <w:rPr>
          <w:rFonts w:hint="eastAsia" w:hAnsi="宋体" w:cs="宋体"/>
          <w:szCs w:val="21"/>
        </w:rPr>
        <w:t>（二）合同未尽事宜，由甲、乙双方协商，作为合同补充，与原合同具有同等法律效力。</w:t>
      </w:r>
    </w:p>
    <w:p w14:paraId="57F2E2AB">
      <w:pPr>
        <w:tabs>
          <w:tab w:val="left" w:pos="480"/>
        </w:tabs>
        <w:spacing w:line="360" w:lineRule="auto"/>
        <w:ind w:firstLine="480" w:firstLineChars="200"/>
        <w:rPr>
          <w:rFonts w:hint="eastAsia" w:hAnsi="宋体" w:cs="宋体"/>
          <w:szCs w:val="21"/>
        </w:rPr>
      </w:pPr>
      <w:r>
        <w:rPr>
          <w:rFonts w:hint="eastAsia" w:hAnsi="宋体" w:cs="宋体"/>
          <w:szCs w:val="21"/>
        </w:rPr>
        <w:t>（三）合同一经签订，不得擅自变更、中止或终止合同。但若与甲方的上级管理机关的政策性行为或其他规定发生冲突，甲方有权与乙方协商调整协议内容或终止协议执行。</w:t>
      </w:r>
    </w:p>
    <w:p w14:paraId="678251EB">
      <w:pPr>
        <w:spacing w:line="360" w:lineRule="auto"/>
        <w:ind w:firstLine="420"/>
        <w:rPr>
          <w:szCs w:val="24"/>
        </w:rPr>
      </w:pPr>
      <w:r>
        <w:rPr>
          <w:rFonts w:hint="eastAsia" w:hAnsi="宋体"/>
          <w:szCs w:val="24"/>
        </w:rPr>
        <w:t>（四）执行本合同过程中发生争议，由当事人双方协商解决。协商不成，可向采购方所在地人民法院提起诉讼。</w:t>
      </w:r>
    </w:p>
    <w:p w14:paraId="66467BFB">
      <w:pPr>
        <w:spacing w:line="360" w:lineRule="auto"/>
        <w:ind w:firstLine="420"/>
        <w:rPr>
          <w:szCs w:val="24"/>
        </w:rPr>
      </w:pPr>
      <w:r>
        <w:rPr>
          <w:rFonts w:hint="eastAsia" w:hAnsi="宋体"/>
          <w:szCs w:val="24"/>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70371468">
      <w:pPr>
        <w:tabs>
          <w:tab w:val="left" w:pos="480"/>
        </w:tabs>
        <w:spacing w:line="360" w:lineRule="auto"/>
        <w:ind w:firstLine="480" w:firstLineChars="200"/>
        <w:rPr>
          <w:rFonts w:hint="eastAsia" w:hAnsi="宋体" w:cs="宋体"/>
          <w:szCs w:val="21"/>
        </w:rPr>
      </w:pPr>
      <w:r>
        <w:rPr>
          <w:rFonts w:hint="eastAsia" w:hAnsi="宋体" w:cs="宋体"/>
          <w:szCs w:val="21"/>
        </w:rPr>
        <w:t>（</w:t>
      </w:r>
      <w:r>
        <w:rPr>
          <w:rFonts w:hint="eastAsia" w:hAnsi="宋体"/>
          <w:szCs w:val="24"/>
        </w:rPr>
        <w:t>六</w:t>
      </w:r>
      <w:r>
        <w:rPr>
          <w:rFonts w:hint="eastAsia" w:hAnsi="宋体" w:cs="宋体"/>
          <w:szCs w:val="21"/>
        </w:rPr>
        <w:t>）本合同按照中华人民共和国的现行法律进行解释。</w:t>
      </w:r>
    </w:p>
    <w:p w14:paraId="32E8F4D4">
      <w:pPr>
        <w:tabs>
          <w:tab w:val="left" w:pos="480"/>
        </w:tabs>
        <w:spacing w:line="360" w:lineRule="auto"/>
        <w:ind w:firstLine="480" w:firstLineChars="200"/>
        <w:rPr>
          <w:rFonts w:hint="eastAsia" w:hAnsi="宋体" w:cs="宋体"/>
          <w:szCs w:val="21"/>
        </w:rPr>
      </w:pPr>
      <w:r>
        <w:rPr>
          <w:rFonts w:hint="eastAsia" w:hAnsi="宋体" w:cs="宋体"/>
          <w:szCs w:val="21"/>
        </w:rPr>
        <w:t>甲  方：（盖章）                          乙  方：（盖章）</w:t>
      </w:r>
    </w:p>
    <w:p w14:paraId="6D8135B0">
      <w:pPr>
        <w:tabs>
          <w:tab w:val="left" w:pos="480"/>
        </w:tabs>
        <w:spacing w:line="360" w:lineRule="auto"/>
        <w:ind w:firstLine="480" w:firstLineChars="200"/>
        <w:rPr>
          <w:rFonts w:hint="eastAsia" w:hAnsi="宋体" w:cs="宋体"/>
          <w:szCs w:val="21"/>
        </w:rPr>
      </w:pPr>
      <w:r>
        <w:rPr>
          <w:rFonts w:hint="eastAsia" w:hAnsi="宋体" w:cs="宋体"/>
          <w:szCs w:val="21"/>
        </w:rPr>
        <w:t>单位名称：                                单位名称：</w:t>
      </w:r>
    </w:p>
    <w:p w14:paraId="2593C46F">
      <w:pPr>
        <w:tabs>
          <w:tab w:val="left" w:pos="480"/>
        </w:tabs>
        <w:spacing w:line="360" w:lineRule="auto"/>
        <w:ind w:left="6720" w:leftChars="200" w:hanging="6240" w:hangingChars="2600"/>
        <w:rPr>
          <w:rFonts w:hint="eastAsia" w:hAnsi="宋体" w:cs="宋体"/>
          <w:szCs w:val="21"/>
        </w:rPr>
      </w:pPr>
      <w:r>
        <w:rPr>
          <w:rFonts w:hint="eastAsia" w:hAnsi="宋体" w:cs="宋体"/>
          <w:szCs w:val="21"/>
        </w:rPr>
        <w:t>地  址：                                  地  址：</w:t>
      </w:r>
    </w:p>
    <w:p w14:paraId="3711F6B5">
      <w:pPr>
        <w:tabs>
          <w:tab w:val="left" w:pos="480"/>
        </w:tabs>
        <w:spacing w:line="360" w:lineRule="auto"/>
        <w:ind w:firstLine="480" w:firstLineChars="200"/>
        <w:rPr>
          <w:rFonts w:hint="eastAsia" w:hAnsi="宋体" w:cs="宋体"/>
          <w:szCs w:val="21"/>
        </w:rPr>
      </w:pPr>
      <w:r>
        <w:rPr>
          <w:rFonts w:hint="eastAsia" w:hAnsi="宋体" w:cs="宋体"/>
          <w:szCs w:val="21"/>
        </w:rPr>
        <w:t>法定代表人                                法定代表人</w:t>
      </w:r>
    </w:p>
    <w:p w14:paraId="487A4F68">
      <w:pPr>
        <w:tabs>
          <w:tab w:val="left" w:pos="480"/>
        </w:tabs>
        <w:spacing w:line="360" w:lineRule="auto"/>
        <w:ind w:firstLine="480" w:firstLineChars="200"/>
        <w:rPr>
          <w:rFonts w:hint="eastAsia" w:hAnsi="宋体" w:cs="宋体"/>
          <w:szCs w:val="21"/>
        </w:rPr>
      </w:pPr>
      <w:r>
        <w:rPr>
          <w:rFonts w:hint="eastAsia" w:hAnsi="宋体" w:cs="宋体"/>
          <w:szCs w:val="21"/>
        </w:rPr>
        <w:t>或委托代理人：                            或委托代理人：</w:t>
      </w:r>
    </w:p>
    <w:p w14:paraId="44684B94">
      <w:pPr>
        <w:tabs>
          <w:tab w:val="left" w:pos="480"/>
        </w:tabs>
        <w:spacing w:line="360" w:lineRule="auto"/>
        <w:ind w:firstLine="480" w:firstLineChars="200"/>
        <w:rPr>
          <w:rFonts w:hint="eastAsia" w:hAnsi="宋体" w:cs="宋体"/>
          <w:szCs w:val="21"/>
        </w:rPr>
      </w:pPr>
      <w:r>
        <w:rPr>
          <w:rFonts w:hint="eastAsia" w:hAnsi="宋体" w:cs="宋体"/>
          <w:szCs w:val="21"/>
        </w:rPr>
        <w:t xml:space="preserve">                                          开户银行：</w:t>
      </w:r>
    </w:p>
    <w:p w14:paraId="6C402846">
      <w:pPr>
        <w:tabs>
          <w:tab w:val="left" w:pos="480"/>
        </w:tabs>
        <w:spacing w:line="360" w:lineRule="auto"/>
        <w:ind w:firstLine="5520" w:firstLineChars="2300"/>
        <w:rPr>
          <w:rFonts w:hint="eastAsia" w:hAnsi="宋体" w:cs="宋体"/>
          <w:szCs w:val="21"/>
        </w:rPr>
      </w:pPr>
      <w:r>
        <w:rPr>
          <w:rFonts w:hint="eastAsia" w:hAnsi="宋体" w:cs="宋体"/>
          <w:szCs w:val="21"/>
        </w:rPr>
        <w:t xml:space="preserve">账  号：       </w:t>
      </w:r>
    </w:p>
    <w:p w14:paraId="16A95C58">
      <w:pPr>
        <w:tabs>
          <w:tab w:val="left" w:pos="480"/>
        </w:tabs>
        <w:spacing w:line="360" w:lineRule="auto"/>
        <w:ind w:firstLine="480" w:firstLineChars="200"/>
        <w:rPr>
          <w:rFonts w:hint="eastAsia" w:hAnsi="宋体" w:cs="宋体"/>
          <w:szCs w:val="21"/>
        </w:rPr>
      </w:pPr>
      <w:r>
        <w:rPr>
          <w:rFonts w:hint="eastAsia" w:hAnsi="宋体" w:cs="宋体"/>
          <w:szCs w:val="21"/>
        </w:rPr>
        <w:t>联系电话：                                联系电话：</w:t>
      </w:r>
    </w:p>
    <w:p w14:paraId="60249566">
      <w:r>
        <w:rPr>
          <w:rFonts w:hint="eastAsia" w:hAnsi="宋体" w:cs="宋体"/>
          <w:szCs w:val="21"/>
        </w:rPr>
        <w:t>签订日期：     年    月      日           签订日期：     年    月   日</w:t>
      </w:r>
      <w:bookmarkStart w:id="39" w:name="_GoBack"/>
      <w:bookmarkEnd w:id="3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B1680"/>
    <w:rsid w:val="215C0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1579</Words>
  <Characters>1587</Characters>
  <Lines>0</Lines>
  <Paragraphs>0</Paragraphs>
  <TotalTime>0</TotalTime>
  <ScaleCrop>false</ScaleCrop>
  <LinksUpToDate>false</LinksUpToDate>
  <CharactersWithSpaces>1983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2025-05-23T08:23:00Z</dcterms:created>
  <dc:creator>Administrator</dc:creator>
  <cp:lastModifiedBy>Mr.sy</cp:lastModifiedBy>
  <dcterms:modified xsi:type="dcterms:W3CDTF">2025-09-02T08:54:30Z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eyJoZGlkIjoiNjE3MzAxNTgxYjAxOTI0ZjUxMzZjMDU1NTMzNDBmOTIiLCJ1c2VySWQiOiIyMzA4NTAzMTYifQ==</vt:lpwstr>
  </property>
  <property fmtid="{D5CDD505-2E9C-101B-9397-08002B2CF9AE}" pid="4" name="ICV">
    <vt:lpwstr>5998B21AE2894A14A5FAB71C5E12C95C_12</vt:lpwstr>
  </property>
</Properties>
</file>