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版本号：0617-2521HZ221320250910002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共聚焦原位高压拉曼光谱仪采购项目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0617-2521HZ2213</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共聚焦原位高压拉曼光谱仪采购项目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0617-2521HZ2213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共聚焦原位高压拉曼光谱仪采购项目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共聚焦原位高压拉曼光谱仪，1套。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029-85239900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的标准下浮22.5%向中标（成交）供应商收取代理服务费；2.论证费：人民币贰仟壹佰贰拾伍元整（¥2125.00元）；3.缴费时间：确定中标（成交）供应商后3日内，由中标（成交）供应商向采购代理机构一次付清代理服务费及论证费； 3.银行信息: 户名：西北（陕西）国际招标有限公司；开户银行：交通银行西安长安大学支行；账号：611301151018010003843。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合同、招标文件、投标文件。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共聚焦原位高压拉曼光谱仪，1套。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共聚焦原位高压拉曼光谱仪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标的名称：共聚焦原位高压拉曼光谱仪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一、配置要求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 主机1套（激光器（532nm）、光谱仪、显微镜、CCD探测器等核心部件集成在同一主机内）.</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2 激光安全门1套.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3 开放式显微镜1套，并配置5X、10X、100X、20X长焦物镜、50X长焦物镜各1个.</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4 实时聚焦附件1套.</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5 智能拉曼成像模块1套.</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6 高精密XYZ自动平台1套.</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7 专业拉曼操作软件1套.</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8 隔震气浮光学平台（1.5m*1.8m）1台</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9 配套设备：智能UPS电源（3000VA）1台，空气净化加湿一体机1台，空调（3P）1台，工作站1套.</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二、技术参数</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1 主机</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 光谱仪焦长300～500mm（焦长范围内保证分辨率和灵敏度不降低）【提供佐证材料，至少包括但不限于官方截图】.</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 XY方向空间分辨率≤0.4μm，Z轴空间分辨率≤1.0μm【提供佐证材料，至少包括但不限于官方截图】.</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1.3 机械针孔共焦技术：内置≥1个机械共焦针孔，非狭缝或光纤虚拟【提供佐证材料，至少包括但不限于官方截图】.</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1.4 软件控制自动切换全部激发波长，无需手动更换透镜、光纤滤光片、光栅等光学元件；</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1.5 自动全波长校准，自动拉曼峰位校正，自动拉曼强度校正，自动荧光背景校正，自动曝光，自动批处理等.</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1.6 激光安全门：激光安全等级不低于Class  I.</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1.7 光谱数据采集模式：数量≥四种，包括单窗口信号采集（同时谱），多窗口连续信号采集（宽光谱快速无缝接谱），多窗口断续信号采集（高低阈值一次采集）和连续扫描信号采集（大范围平滑光谱）【提供佐证材料，至少包括但不限于官方截图】.</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1.8 扩展性：支持与原子力显微镜联用（需提供真实联用照片）【提供佐证材料，至少包括但不限于官方截图】.</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2 光谱仪</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2.1 采用高灵敏度消色差像散反射式光谱仪，内置2片反射镜（反射率≥97%），无透镜.</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2.2 光谱分辨率≤1.0cm</w:t>
            </w:r>
            <w:r>
              <w:rPr>
                <w:rFonts w:ascii="仿宋_GB2312" w:hAnsi="仿宋_GB2312" w:cs="仿宋_GB2312" w:eastAsia="仿宋_GB2312"/>
                <w:vertAlign w:val="superscript"/>
              </w:rPr>
              <w:t>-1</w:t>
            </w:r>
            <w:r>
              <w:rPr>
                <w:rFonts w:ascii="仿宋_GB2312" w:hAnsi="仿宋_GB2312" w:cs="仿宋_GB2312" w:eastAsia="仿宋_GB2312"/>
              </w:rPr>
              <w:t>（837nm氖灯线半高宽）（测试条件：采用≤1800刻线光栅，≥30um狭缝或针孔一次性连续测量紫外-可见-近红外全光谱范围）【提供佐证材料，至少包括但不限于官方截图】.</w:t>
            </w:r>
          </w:p>
        </w:tc>
      </w:tr>
      <w:tr>
        <w:tc>
          <w:tcPr>
            <w:tcW w:type="dxa" w:w="2769"/>
          </w:tcPr>
          <w:p>
            <w:pPr>
              <w:pStyle w:val="null3"/>
            </w:pPr>
            <w:r>
              <w:rPr>
                <w:rFonts w:ascii="仿宋_GB2312" w:hAnsi="仿宋_GB2312" w:cs="仿宋_GB2312" w:eastAsia="仿宋_GB2312"/>
              </w:rPr>
              <w:t>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2.3 灵敏度：硅三阶峰的信噪比≥40:1，并能观察到四阶峰（测试条件：测量Si（111）三阶峰，532nm激发，积分时间≤100s，重复≤3次）【提供佐证材料，至少包括但不限于官方截图】.</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2.4 光谱重复性：≤±0.02cm</w:t>
            </w:r>
            <w:r>
              <w:rPr>
                <w:rFonts w:ascii="仿宋_GB2312" w:hAnsi="仿宋_GB2312" w:cs="仿宋_GB2312" w:eastAsia="仿宋_GB2312"/>
                <w:vertAlign w:val="superscript"/>
              </w:rPr>
              <w:t>-1</w:t>
            </w:r>
            <w:r>
              <w:rPr>
                <w:rFonts w:ascii="仿宋_GB2312" w:hAnsi="仿宋_GB2312" w:cs="仿宋_GB2312" w:eastAsia="仿宋_GB2312"/>
              </w:rPr>
              <w:t>；（测试条件：Si  520cm</w:t>
            </w:r>
            <w:r>
              <w:rPr>
                <w:rFonts w:ascii="仿宋_GB2312" w:hAnsi="仿宋_GB2312" w:cs="仿宋_GB2312" w:eastAsia="仿宋_GB2312"/>
                <w:vertAlign w:val="superscript"/>
              </w:rPr>
              <w:t>-1</w:t>
            </w:r>
            <w:r>
              <w:rPr>
                <w:rFonts w:ascii="仿宋_GB2312" w:hAnsi="仿宋_GB2312" w:cs="仿宋_GB2312" w:eastAsia="仿宋_GB2312"/>
              </w:rPr>
              <w:t>拉曼峰，532nm激发，10次以上连续测量，扫描范围100-4000cm</w:t>
            </w:r>
            <w:r>
              <w:rPr>
                <w:rFonts w:ascii="仿宋_GB2312" w:hAnsi="仿宋_GB2312" w:cs="仿宋_GB2312" w:eastAsia="仿宋_GB2312"/>
                <w:vertAlign w:val="superscript"/>
              </w:rPr>
              <w:t>-1</w:t>
            </w:r>
            <w:r>
              <w:rPr>
                <w:rFonts w:ascii="仿宋_GB2312" w:hAnsi="仿宋_GB2312" w:cs="仿宋_GB2312" w:eastAsia="仿宋_GB2312"/>
              </w:rPr>
              <w:t>，峰位变化≤±0.02cm</w:t>
            </w:r>
            <w:r>
              <w:rPr>
                <w:rFonts w:ascii="仿宋_GB2312" w:hAnsi="仿宋_GB2312" w:cs="仿宋_GB2312" w:eastAsia="仿宋_GB2312"/>
                <w:vertAlign w:val="superscript"/>
              </w:rPr>
              <w:t>-1</w:t>
            </w:r>
            <w:r>
              <w:rPr>
                <w:rFonts w:ascii="仿宋_GB2312" w:hAnsi="仿宋_GB2312" w:cs="仿宋_GB2312" w:eastAsia="仿宋_GB2312"/>
              </w:rPr>
              <w:t>）.</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2.5 内置至少2块光栅，包括600，1800刻线，软件控制自动切换.</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2.6 光谱仪采用电介质超级反射镜，反射率≥97%（全光谱范围）.</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2.7 配置≥1024×256像素CCD芯片，无近红外干涉条纹效应.</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2.8 非球面大尺寸反射镜，消象散色差，软件控制自动切换激发波长.</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3 开放式显微镜</w:t>
            </w:r>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3.1 采用开放式设计，提供大尺寸空间≥50mm用于原位、高压拉曼光谱实验【提供佐证材料，至少包括但不限于官方截图】.</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3.2 通过调节物镜高低聚焦样品，无需调节样品台.</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3.3 配置彩色摄像机：≥2560×1920像素.</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3.4 白光照明，软件控制自动切换白光照明和拉曼测量.</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3.5 可见平场消色差物镜：5X，10X，100X，20X长焦，50X长焦.</w:t>
            </w:r>
          </w:p>
        </w:tc>
      </w:tr>
      <w:tr>
        <w:tc>
          <w:tcPr>
            <w:tcW w:type="dxa" w:w="2769"/>
          </w:tcPr>
          <w:p>
            <w:pPr>
              <w:pStyle w:val="null3"/>
            </w:pPr>
            <w:r>
              <w:rPr>
                <w:rFonts w:ascii="仿宋_GB2312" w:hAnsi="仿宋_GB2312" w:cs="仿宋_GB2312" w:eastAsia="仿宋_GB2312"/>
              </w:rPr>
              <w:t>36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3.6 物镜带NFC近场识别功能，软件自动识别物镜并匹配参数【提供佐证材料，至少包括但不限于官方截图】.</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4 共焦光路</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4.1 内置全反射式共焦光路，采用电介质超级反射镜，反射率≥97%（全光谱范围）.</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4.2 拉曼光路共焦针孔孔径≥10-500μm，由软件调节、控制.</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5 激光器</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5.1   532nm单纵模固体激光器，TEM00模式，功率≥100mW.</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5.2   532nm干涉滤光片和Edge滤光片，低波数≤50cm</w:t>
            </w:r>
            <w:r>
              <w:rPr>
                <w:rFonts w:ascii="仿宋_GB2312" w:hAnsi="仿宋_GB2312" w:cs="仿宋_GB2312" w:eastAsia="仿宋_GB2312"/>
                <w:vertAlign w:val="superscript"/>
              </w:rPr>
              <w:t>-1</w:t>
            </w:r>
            <w:r>
              <w:rPr>
                <w:rFonts w:ascii="仿宋_GB2312" w:hAnsi="仿宋_GB2312" w:cs="仿宋_GB2312" w:eastAsia="仿宋_GB2312"/>
              </w:rPr>
              <w:t>.</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5.3   532nmPL光谱范围：538-1050nm.</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5.4 软件控制激光光路.</w:t>
            </w:r>
          </w:p>
        </w:tc>
      </w:tr>
      <w:tr>
        <w:tc>
          <w:tcPr>
            <w:tcW w:type="dxa" w:w="2769"/>
          </w:tcPr>
          <w:p>
            <w:pPr>
              <w:pStyle w:val="null3"/>
            </w:pPr>
            <w:r>
              <w:rPr>
                <w:rFonts w:ascii="仿宋_GB2312" w:hAnsi="仿宋_GB2312" w:cs="仿宋_GB2312" w:eastAsia="仿宋_GB2312"/>
              </w:rPr>
              <w:t>45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▲5.5 软件控制自动调节Edge滤光片角度，低波数≤30cm</w:t>
            </w:r>
            <w:r>
              <w:rPr>
                <w:rFonts w:ascii="仿宋_GB2312" w:hAnsi="仿宋_GB2312" w:cs="仿宋_GB2312" w:eastAsia="仿宋_GB2312"/>
                <w:vertAlign w:val="superscript"/>
              </w:rPr>
              <w:t>-1</w:t>
            </w:r>
            <w:r>
              <w:rPr>
                <w:rFonts w:ascii="仿宋_GB2312" w:hAnsi="仿宋_GB2312" w:cs="仿宋_GB2312" w:eastAsia="仿宋_GB2312"/>
              </w:rPr>
              <w:t>【提供佐证材料，至少包括但不限于官方截图】.</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5.6 激光器衰减等级≥25级.</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6 高精密XYZ自动平台</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6.1 XY轴扫描范围：X≥75mm，Y≥50mm，Z≥20mm.</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6.2 自动平台最小步进：≤10nm.</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6.3 可扩展显微镜白光成像范围，拼接白光成像.</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6.4 实时聚焦：支持白光，拉曼信号自动聚焦.</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6.5 自动对大范围样品进行三维表面形貌成像.</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6.6 可对表面不平整样品进行拉曼光谱成像.</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7 超快速成像模块</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7.1 软件控制，自动选择普通模式和超快速成像模式，无需更换光学元件和调整仪器.</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7.2 集成拉曼软件包，包括实时数据采集，处理，显示等功能，可针对特定拉曼峰位，半高宽，强度，峰面积，全谱modeling分析等进行成像.</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7.3 适用于所有激发波长（包括紫外-可见-近红外）.</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7.4 成像速率≤10ms/光谱.</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8 软件</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8.1 专业光谱软件包：包括中英文界面，可切换.</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8.2 光谱软件权限控制：可建立多用户权限，如管理员，专家，实验员等，保证后台操作不被轻易篡改。不同用户支持不同的操作界面。</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9 辅助设备</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9.1 智能UPS电源：3000VA，支持移动端操作，设备电源远程通断；断电后提供不少于15分钟的持续供电，且输出功率满足设备全负荷运转需求，运行中电压波动范围控制在±5%以内.</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9.2 空调：不小于3P（主流品牌，含安装及辅材）.</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9.3 光学防震平台：面积不小于1.5m*1.8m.</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9.4 工作站：≥Intel  i7中央处理器，≥16G内存，≥256G固态硬盘，≥2T机械硬盘，16X刻录机，≥4G独立显卡，≥27英寸LED显示器，Windows10   64位操作系统.</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9.5 空气净化加湿一体机（主流品牌，含安装及辅材）：气态CADR不小于1000m</w:t>
            </w:r>
            <w:r>
              <w:rPr>
                <w:rFonts w:ascii="仿宋_GB2312" w:hAnsi="仿宋_GB2312" w:cs="仿宋_GB2312" w:eastAsia="仿宋_GB2312"/>
                <w:vertAlign w:val="superscript"/>
              </w:rPr>
              <w:t>2</w:t>
            </w:r>
            <w:r>
              <w:rPr>
                <w:rFonts w:ascii="仿宋_GB2312" w:hAnsi="仿宋_GB2312" w:cs="仿宋_GB2312" w:eastAsia="仿宋_GB2312"/>
              </w:rPr>
              <w:t>/h，固态污染物CADR不小于800m</w:t>
            </w:r>
            <w:r>
              <w:rPr>
                <w:rFonts w:ascii="仿宋_GB2312" w:hAnsi="仿宋_GB2312" w:cs="仿宋_GB2312" w:eastAsia="仿宋_GB2312"/>
                <w:vertAlign w:val="superscript"/>
              </w:rPr>
              <w:t>2</w:t>
            </w:r>
            <w:r>
              <w:rPr>
                <w:rFonts w:ascii="仿宋_GB2312" w:hAnsi="仿宋_GB2312" w:cs="仿宋_GB2312" w:eastAsia="仿宋_GB2312"/>
              </w:rPr>
              <w:t>/h，适用面积不小于60平方米，PM2.5传感器（数显），TVOC传感器（数显）.</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三、商务要求</w:t>
            </w:r>
          </w:p>
        </w:tc>
      </w:tr>
      <w:tr>
        <w:tc>
          <w:tcPr>
            <w:tcW w:type="dxa" w:w="2769"/>
          </w:tcPr>
          <w:p>
            <w:pPr>
              <w:pStyle w:val="null3"/>
            </w:pPr>
            <w:r>
              <w:rPr>
                <w:rFonts w:ascii="仿宋_GB2312" w:hAnsi="仿宋_GB2312" w:cs="仿宋_GB2312" w:eastAsia="仿宋_GB2312"/>
              </w:rPr>
              <w:t>69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1、交货时间：合同签订后6个月</w:t>
            </w:r>
          </w:p>
        </w:tc>
      </w:tr>
      <w:tr>
        <w:tc>
          <w:tcPr>
            <w:tcW w:type="dxa" w:w="2769"/>
          </w:tcPr>
          <w:p>
            <w:pPr>
              <w:pStyle w:val="null3"/>
            </w:pPr>
            <w:r>
              <w:rPr>
                <w:rFonts w:ascii="仿宋_GB2312" w:hAnsi="仿宋_GB2312" w:cs="仿宋_GB2312" w:eastAsia="仿宋_GB2312"/>
              </w:rPr>
              <w:t>70</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2、交货地点：西安科技大学骊山校园指定地点</w:t>
            </w:r>
          </w:p>
        </w:tc>
      </w:tr>
      <w:tr>
        <w:tc>
          <w:tcPr>
            <w:tcW w:type="dxa" w:w="2769"/>
          </w:tcPr>
          <w:p>
            <w:pPr>
              <w:pStyle w:val="null3"/>
            </w:pPr>
            <w:r>
              <w:rPr>
                <w:rFonts w:ascii="仿宋_GB2312" w:hAnsi="仿宋_GB2312" w:cs="仿宋_GB2312" w:eastAsia="仿宋_GB2312"/>
              </w:rPr>
              <w:t>71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3、质保期：终验合格后1年</w:t>
            </w:r>
          </w:p>
        </w:tc>
      </w:tr>
      <w:tr>
        <w:tc>
          <w:tcPr>
            <w:tcW w:type="dxa" w:w="2769"/>
          </w:tcPr>
          <w:p>
            <w:pPr>
              <w:pStyle w:val="null3"/>
            </w:pPr>
            <w:r>
              <w:rPr>
                <w:rFonts w:ascii="仿宋_GB2312" w:hAnsi="仿宋_GB2312" w:cs="仿宋_GB2312" w:eastAsia="仿宋_GB2312"/>
              </w:rPr>
              <w:t>72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4、售后服务要求：（1）售后服务响应时间（质保期内）：即时响应（包括电话响应）；电话响应无法解决 24 小时内到达现场。修复时间 48 小时内解决；如在 48 小时内无法修复，则提供部件冗余服务或采取应急措施，提供相同产品或不低于故障产品规格档次的备用产品供采购人使用，以确保货物的正常使用。（2）制造商提供专业售后服务，专业培训</w:t>
            </w:r>
            <w:r>
              <w:rPr>
                <w:rFonts w:ascii="仿宋_GB2312" w:hAnsi="仿宋_GB2312" w:cs="仿宋_GB2312" w:eastAsia="仿宋_GB2312"/>
                <w:sz w:val="20"/>
              </w:rPr>
              <w:t>;</w:t>
            </w:r>
            <w:r>
              <w:rPr>
                <w:rFonts w:ascii="仿宋_GB2312" w:hAnsi="仿宋_GB2312" w:cs="仿宋_GB2312" w:eastAsia="仿宋_GB2312"/>
                <w:sz w:val="20"/>
              </w:rPr>
              <w:t>西安本地常驻售后工</w:t>
            </w:r>
            <w:r>
              <w:rPr>
                <w:rFonts w:ascii="仿宋_GB2312" w:hAnsi="仿宋_GB2312" w:cs="仿宋_GB2312" w:eastAsia="仿宋_GB2312"/>
                <w:sz w:val="21"/>
              </w:rPr>
              <w:t>程师。</w:t>
            </w:r>
          </w:p>
        </w:tc>
      </w:tr>
      <w:tr>
        <w:tc>
          <w:tcPr>
            <w:tcW w:type="dxa" w:w="2769"/>
          </w:tcPr>
          <w:p>
            <w:pPr>
              <w:pStyle w:val="null3"/>
            </w:pPr>
            <w:r>
              <w:rPr>
                <w:rFonts w:ascii="仿宋_GB2312" w:hAnsi="仿宋_GB2312" w:cs="仿宋_GB2312" w:eastAsia="仿宋_GB2312"/>
              </w:rPr>
              <w:t>73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5、款项结算：</w:t>
            </w:r>
          </w:p>
          <w:p>
            <w:pPr>
              <w:pStyle w:val="null3"/>
            </w:pPr>
            <w:r>
              <w:rPr>
                <w:rFonts w:ascii="仿宋_GB2312" w:hAnsi="仿宋_GB2312" w:cs="仿宋_GB2312" w:eastAsia="仿宋_GB2312"/>
                <w:sz w:val="20"/>
              </w:rPr>
              <w:t>（1）结算单位：采购人结算，在付款前必须开具全额增值税发票给采购人。</w:t>
            </w:r>
          </w:p>
          <w:p>
            <w:pPr>
              <w:pStyle w:val="null3"/>
            </w:pPr>
            <w:r>
              <w:rPr>
                <w:rFonts w:ascii="仿宋_GB2312" w:hAnsi="仿宋_GB2312" w:cs="仿宋_GB2312" w:eastAsia="仿宋_GB2312"/>
                <w:sz w:val="20"/>
              </w:rPr>
              <w:t>（2）进口产品付款方式：</w:t>
            </w:r>
          </w:p>
          <w:p>
            <w:pPr>
              <w:pStyle w:val="null3"/>
            </w:pPr>
            <w:r>
              <w:rPr>
                <w:rFonts w:ascii="仿宋_GB2312" w:hAnsi="仿宋_GB2312" w:cs="仿宋_GB2312" w:eastAsia="仿宋_GB2312"/>
                <w:sz w:val="20"/>
              </w:rPr>
              <w:t>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w:t>
            </w:r>
          </w:p>
          <w:p>
            <w:pPr>
              <w:pStyle w:val="null3"/>
            </w:pPr>
            <w:r>
              <w:rPr>
                <w:rFonts w:ascii="仿宋_GB2312" w:hAnsi="仿宋_GB2312" w:cs="仿宋_GB2312" w:eastAsia="仿宋_GB2312"/>
                <w:sz w:val="20"/>
              </w:rPr>
              <w:t>（3）国产产品付款方式：</w:t>
            </w:r>
          </w:p>
          <w:p>
            <w:pPr>
              <w:pStyle w:val="null3"/>
            </w:pPr>
            <w:r>
              <w:rPr>
                <w:rFonts w:ascii="仿宋_GB2312" w:hAnsi="仿宋_GB2312" w:cs="仿宋_GB2312" w:eastAsia="仿宋_GB2312"/>
                <w:sz w:val="20"/>
              </w:rPr>
              <w:t>非中小企业中标付款方式：签订合同前向学校缴纳5%的履约保证金，国内产品安装调试经学校验收合格后一次性支付全款，同时缴纳的5%履约保证金无质量问题一次性无息退还。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pPr>
              <w:pStyle w:val="null3"/>
            </w:pPr>
            <w:r>
              <w:rPr>
                <w:rFonts w:ascii="仿宋_GB2312" w:hAnsi="仿宋_GB2312" w:cs="仿宋_GB2312" w:eastAsia="仿宋_GB2312"/>
                <w:sz w:val="20"/>
              </w:rPr>
              <w:t>注：逾期退还履约保证金，产生的资金占用费双方协商。</w:t>
            </w:r>
          </w:p>
        </w:tc>
      </w:tr>
      <w:tr>
        <w:tc>
          <w:tcPr>
            <w:tcW w:type="dxa" w:w="2769"/>
          </w:tcPr>
          <w:p>
            <w:pPr>
              <w:pStyle w:val="null3"/>
            </w:pPr>
            <w:r>
              <w:rPr>
                <w:rFonts w:ascii="仿宋_GB2312" w:hAnsi="仿宋_GB2312" w:cs="仿宋_GB2312" w:eastAsia="仿宋_GB2312"/>
              </w:rPr>
              <w:t>74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 提供投标产品合法来源渠道证明，包括但不限于销售协议、代理协议、原厂授权或 承诺书等。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签订合同前向学校缴纳5%的履约保证金，国内产品安装调试经学校验收合格后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终验合格后1年。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一、补充说明：1、付款方式：因系统设置原因，本章3.4.4支付约定描述不全之处，以本章3.3技术要求中二、商务要求，4.款项结算为准。 2、残疾人福利性单位及监狱企业视同为小型、微型企业。 二、项目说明：1、本项目允许采购进口产品。 如果因信息不对称等原因，仍有满足需求的国内产品要求参与采购竞争的，采购人及其委托的采购代理机构不对其加以限制，按照公平竞争原则实施采购。2、“进口产品”是指通过中国海关报关验放进入中国境内且产自关境外的产品。 三、投标有效期：本项目投标有效期为从开标之日起120日历天。中标供应商的投标文件有效期自动延长合同履行完毕。 四、报价说明：1、因采购人具有教科文进口环节减免税资格，进口设备可以报免税报价，不在教科文减免范围的设备应按含税开展报价。免税报价包含外贸代理服务费。2、免税报价免除仅为进口环节的教科文减免税（进口环节增值税）3、供应商报价未明确免税报价的视为含税报价。 五、其他备注说明（因本项目使用电子招投标系统，格式无法调整，招标文件中其他部分与本部分不一致时以本部分要求为准）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2、本项目已通过进口产品论证，投标文件中接受外文资料，但主要部分仍应尽量对应翻译成中文并附在相关外文资料后面。3、本项目不强制要求招标文件第二章投标人须知2.4.4知识产权第二条要求。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（一）具有独立承担民事责任的能力。 提供注册登记凭证（营业执照、其他组织经营的合法凭证，自然人的提供身份 证明文件）。供应商需在项目电子化交易系统中按要求上传相应证明文件并进行电子签章。 （二）具有良好的商业信誉和健全的财务会计制度。提供经审计的近三年任意一年财务报告（包括四表一注，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（三）具有履行合同所必需的设备和专业技术能力。提供声明文件。 供应商需在项目电子化交易系统中按要求上传相应证明文件并进行电子签章。 （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（六）参加政府采购活动前3年内在经营活动中没有重大违法记录的书面声明。供应商需在项目电子化交易系统中按要求上传相应证明文件并进行电子签章。 （七）法定代表人授权委托书或法定代表人证明书。法定代表人授权委托书（被授权代表参加）或法定代表人证明书（法定代表人直接参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投标文件完整性审查</w:t>
            </w:r>
          </w:p>
        </w:tc>
        <w:tc>
          <w:tcPr>
            <w:tcW w:type="dxa" w:w="3322"/>
          </w:tcPr>
          <w:p>
            <w:pPr>
              <w:pStyle w:val="null3"/>
            </w:pPr>
            <w:r>
              <w:rPr>
                <w:rFonts w:ascii="仿宋_GB2312" w:hAnsi="仿宋_GB2312" w:cs="仿宋_GB2312" w:eastAsia="仿宋_GB2312"/>
              </w:rPr>
              <w:t>投标文件是否按照招标文件要求的格式编写；投标文件内容是否有重大缺漏项。</w:t>
            </w:r>
          </w:p>
        </w:tc>
        <w:tc>
          <w:tcPr>
            <w:tcW w:type="dxa" w:w="1661"/>
          </w:tcPr>
          <w:p>
            <w:pPr>
              <w:pStyle w:val="null3"/>
            </w:pPr>
            <w:r>
              <w:rPr>
                <w:rFonts w:ascii="仿宋_GB2312" w:hAnsi="仿宋_GB2312" w:cs="仿宋_GB2312" w:eastAsia="仿宋_GB2312"/>
              </w:rPr>
              <w:t>产品技术参数表 投标方案说明书 投标函 商务应答表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产品技术参数表 投标方案说明书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① 投标报价是否超过采购预算；②投标报价有效期是否符合招标文件的要求；③ 投标文件内容是否符合国家法律法规，没有重大偏离；④对招标文件中规定的要求是否做出了实质性响应。</w:t>
            </w:r>
          </w:p>
        </w:tc>
        <w:tc>
          <w:tcPr>
            <w:tcW w:type="dxa" w:w="1661"/>
          </w:tcPr>
          <w:p>
            <w:pPr>
              <w:pStyle w:val="null3"/>
            </w:pPr>
            <w:r>
              <w:rPr>
                <w:rFonts w:ascii="仿宋_GB2312" w:hAnsi="仿宋_GB2312" w:cs="仿宋_GB2312" w:eastAsia="仿宋_GB2312"/>
              </w:rPr>
              <w:t>产品技术参数表 投标方案说明书 投标函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投标产品技术参数清楚、明确，有相应齐全的技术资料，完全满足招标技术参数要求得39分；标注“▲”负偏离一条扣3分；其余未标注符号的负偏离一条扣1分；扣完为止。 评审依据：提供生产厂家确认的具有相应的功能证明材料（投标产品彩页（如有）、（产品）说明书、认证证书、检测/检验报告等，官网截图等），技术偏离表中的投标响应，在技术资料中未出现，视为负偏离。</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提供服务、实施方案，项目团队人员配备（提供专职人员名单及联系方式、有效身份证复印件），技术能力出众（提供相关资格证书）。 评审标准 1.完整性：方案须全面，对评审内容中的各项要求有详细描述； 2.可实施性：切合本项目实际情况，切实可行； 3.针对性：方案能够紧扣项目实际情况，科学合理。 赋分标准（满分6分）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提供售后服务方案，方案内容至少包括①服务内容及售后服务承诺②售后服务体系及人员配置③响应时间、④退换货。 评审标准： 1.完整性：方案须全面，对评审内容中的各项要求有详细描述； 2.可实施性：切合本项目实际情况，实施步骤清晰、合理； 3.针对性：方案能够紧扣项目实际情况，内容科学合理。 赋分标准（满分12分） 每项内容：每完全满足一个评审标准得1分，满分3分；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投标产品来源渠道</w:t>
            </w:r>
          </w:p>
        </w:tc>
        <w:tc>
          <w:tcPr>
            <w:tcW w:type="dxa" w:w="2492"/>
          </w:tcPr>
          <w:p>
            <w:pPr>
              <w:pStyle w:val="null3"/>
            </w:pPr>
            <w:r>
              <w:rPr>
                <w:rFonts w:ascii="仿宋_GB2312" w:hAnsi="仿宋_GB2312" w:cs="仿宋_GB2312" w:eastAsia="仿宋_GB2312"/>
              </w:rPr>
              <w:t>投标人提供给投标产品来源渠道证明：包括但不限于销售协议、代理协议、原厂授权或承诺书等，提供得2分，未提供的不得分。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同类产品业绩</w:t>
            </w:r>
          </w:p>
        </w:tc>
        <w:tc>
          <w:tcPr>
            <w:tcW w:type="dxa" w:w="2492"/>
          </w:tcPr>
          <w:p>
            <w:pPr>
              <w:pStyle w:val="null3"/>
            </w:pPr>
            <w:r>
              <w:rPr>
                <w:rFonts w:ascii="仿宋_GB2312" w:hAnsi="仿宋_GB2312" w:cs="仿宋_GB2312" w:eastAsia="仿宋_GB2312"/>
              </w:rPr>
              <w:t>提供2020年1月1日至今（以合同签订日期为准），同类产品业绩合同，一份有效业绩合同计2分，最高6分。 评审依据：完整合同复印件加盖公章。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同类产品业绩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招标文件要求且投标价格最低的投标报价为评标基准价，其价格分为满分。其他投标人的价格分统一按照下列公式计算：投标报价得分=（评标基准价/投标报价）×35。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详见附件：同类产品业绩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