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版本号：【KRDL】K4-250918720250910001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智慧矿山综合通信系统实验平台采购项目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【KRDL】K4-2509187</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智慧矿山综合通信系统实验平台采购项目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【KRDL】K4-2509187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智慧矿山综合通信系统实验平台采购项目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西安科技大学智慧矿山综合通信系统实验平台采购项目，拟采购1套智慧矿山综合通信系统实验平台，具体采购内容及要求详见本项目竞争性谈判文件、答疑文件等全部内容。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采购包1（智慧矿山综合通信系统实验平台采购项目）：属于专门面向中小企业采购。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3、谈判授权代表：供应商应授权合法的人员参加本项目谈判活动全过程；</w:t>
      </w:r>
    </w:p>
    <w:p>
      <w:pPr>
        <w:pStyle w:val="null3"/>
      </w:pPr>
      <w:r>
        <w:rPr>
          <w:rFonts w:ascii="仿宋_GB2312" w:hAnsi="仿宋_GB2312" w:cs="仿宋_GB2312" w:eastAsia="仿宋_GB2312"/>
        </w:rPr>
        <w:t>4、是否面向中小企业采购：本项目专门面向中小企业采购。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说明：合同签订前，供应商须向采购人提交合同总价的5%作为履约保证金；设备到货并由采购人验收合格后，供应商申请，采购人将履约保证金（无息）退还中标人。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改革委员会办公厅颁发的《关于招标代理服务收费有关问题的通知》（发改办价格[2003] 857号）的有关规定标准下浮22.5%计取，向采购代理机构一次付清代理服务费。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w:t>
      </w:r>
    </w:p>
    <w:p>
      <w:pPr>
        <w:pStyle w:val="null3"/>
      </w:pPr>
      <w:r>
        <w:rPr>
          <w:rFonts w:ascii="仿宋_GB2312" w:hAnsi="仿宋_GB2312" w:cs="仿宋_GB2312" w:eastAsia="仿宋_GB2312"/>
        </w:rPr>
        <w:t>联系电话：17302920968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西安科技大学智慧矿山综合通信系统实验平台采购项目，拟采购1套智慧矿山综合通信系统实验平台。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智慧矿山综合通信系统实验平台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标的名称：智慧矿山综合通信系统实验平台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06"/>
              <w:gridCol w:w="473"/>
              <w:gridCol w:w="1633"/>
              <w:gridCol w:w="473"/>
              <w:gridCol w:w="294"/>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配置要求</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智慧矿山综合通信系统实验平台</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FF"/>
                    </w:rPr>
                    <w:t>1.</w:t>
                  </w:r>
                  <w:r>
                    <w:rPr>
                      <w:rFonts w:ascii="仿宋_GB2312" w:hAnsi="仿宋_GB2312" w:cs="仿宋_GB2312" w:eastAsia="仿宋_GB2312"/>
                      <w:sz w:val="24"/>
                      <w:color w:val="0000FF"/>
                    </w:rPr>
                    <w:t>频率范围</w:t>
                  </w:r>
                  <w:r>
                    <w:rPr>
                      <w:rFonts w:ascii="仿宋_GB2312" w:hAnsi="仿宋_GB2312" w:cs="仿宋_GB2312" w:eastAsia="仿宋_GB2312"/>
                      <w:sz w:val="24"/>
                      <w:color w:val="0000FF"/>
                    </w:rPr>
                    <w:t>：至少覆盖</w:t>
                  </w:r>
                  <w:r>
                    <w:rPr>
                      <w:rFonts w:ascii="仿宋_GB2312" w:hAnsi="仿宋_GB2312" w:cs="仿宋_GB2312" w:eastAsia="仿宋_GB2312"/>
                      <w:sz w:val="24"/>
                      <w:color w:val="0000FF"/>
                    </w:rPr>
                    <w:t>80</w:t>
                  </w:r>
                  <w:r>
                    <w:rPr>
                      <w:rFonts w:ascii="仿宋_GB2312" w:hAnsi="仿宋_GB2312" w:cs="仿宋_GB2312" w:eastAsia="仿宋_GB2312"/>
                      <w:sz w:val="24"/>
                      <w:color w:val="0000FF"/>
                    </w:rPr>
                    <w:t>MHz</w:t>
                  </w:r>
                  <w:r>
                    <w:rPr>
                      <w:rFonts w:ascii="仿宋_GB2312" w:hAnsi="仿宋_GB2312" w:cs="仿宋_GB2312" w:eastAsia="仿宋_GB2312"/>
                      <w:sz w:val="19"/>
                      <w:color w:val="333333"/>
                      <w:shd w:fill="FFFFFF" w:val="clear"/>
                    </w:rPr>
                    <w:t>~</w:t>
                  </w:r>
                  <w:r>
                    <w:rPr>
                      <w:rFonts w:ascii="仿宋_GB2312" w:hAnsi="仿宋_GB2312" w:cs="仿宋_GB2312" w:eastAsia="仿宋_GB2312"/>
                      <w:sz w:val="24"/>
                      <w:color w:val="0000FF"/>
                    </w:rPr>
                    <w:t>6GHz</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通道数</w:t>
                  </w:r>
                  <w:r>
                    <w:rPr>
                      <w:rFonts w:ascii="仿宋_GB2312" w:hAnsi="仿宋_GB2312" w:cs="仿宋_GB2312" w:eastAsia="仿宋_GB2312"/>
                      <w:sz w:val="24"/>
                      <w:color w:val="0000FF"/>
                    </w:rPr>
                    <w:t>：</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≥2Tx2Rx，通道同步；收发分离，发射端可自回环；</w:t>
                  </w:r>
                </w:p>
                <w:p>
                  <w:pPr>
                    <w:pStyle w:val="null3"/>
                  </w:pPr>
                  <w:r>
                    <w:rPr>
                      <w:rFonts w:ascii="仿宋_GB2312" w:hAnsi="仿宋_GB2312" w:cs="仿宋_GB2312" w:eastAsia="仿宋_GB2312"/>
                      <w:sz w:val="24"/>
                      <w:color w:val="0000FF"/>
                    </w:rPr>
                    <w:t>3.最大瞬时带宽：160MHz；</w:t>
                  </w:r>
                </w:p>
                <w:p>
                  <w:pPr>
                    <w:pStyle w:val="null3"/>
                  </w:pPr>
                  <w:r>
                    <w:rPr>
                      <w:rFonts w:ascii="仿宋_GB2312" w:hAnsi="仿宋_GB2312" w:cs="仿宋_GB2312" w:eastAsia="仿宋_GB2312"/>
                      <w:sz w:val="24"/>
                      <w:color w:val="0000FF"/>
                    </w:rPr>
                    <w:t>4.</w:t>
                  </w:r>
                  <w:r>
                    <w:rPr>
                      <w:rFonts w:ascii="仿宋_GB2312" w:hAnsi="仿宋_GB2312" w:cs="仿宋_GB2312" w:eastAsia="仿宋_GB2312"/>
                      <w:sz w:val="24"/>
                      <w:color w:val="0000FF"/>
                    </w:rPr>
                    <w:t>最大</w:t>
                  </w:r>
                  <w:r>
                    <w:rPr>
                      <w:rFonts w:ascii="仿宋_GB2312" w:hAnsi="仿宋_GB2312" w:cs="仿宋_GB2312" w:eastAsia="仿宋_GB2312"/>
                      <w:sz w:val="24"/>
                      <w:color w:val="0000FF"/>
                    </w:rPr>
                    <w:t>IQ速率</w:t>
                  </w:r>
                  <w:r>
                    <w:rPr>
                      <w:rFonts w:ascii="仿宋_GB2312" w:hAnsi="仿宋_GB2312" w:cs="仿宋_GB2312" w:eastAsia="仿宋_GB2312"/>
                      <w:sz w:val="24"/>
                      <w:color w:val="0000FF"/>
                    </w:rPr>
                    <w:t>：</w:t>
                  </w:r>
                  <w:r>
                    <w:rPr>
                      <w:rFonts w:ascii="仿宋_GB2312" w:hAnsi="仿宋_GB2312" w:cs="仿宋_GB2312" w:eastAsia="仿宋_GB2312"/>
                      <w:sz w:val="24"/>
                      <w:color w:val="0000FF"/>
                    </w:rPr>
                    <w:t>200MS/s</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5.</w:t>
                  </w:r>
                  <w:r>
                    <w:rPr>
                      <w:rFonts w:ascii="仿宋_GB2312" w:hAnsi="仿宋_GB2312" w:cs="仿宋_GB2312" w:eastAsia="仿宋_GB2312"/>
                      <w:sz w:val="24"/>
                      <w:color w:val="0000FF"/>
                    </w:rPr>
                    <w:t>内置</w:t>
                  </w:r>
                  <w:r>
                    <w:rPr>
                      <w:rFonts w:ascii="仿宋_GB2312" w:hAnsi="仿宋_GB2312" w:cs="仿宋_GB2312" w:eastAsia="仿宋_GB2312"/>
                      <w:sz w:val="24"/>
                      <w:color w:val="0000FF"/>
                    </w:rPr>
                    <w:t>GPSDO</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6.</w:t>
                  </w:r>
                  <w:r>
                    <w:rPr>
                      <w:rFonts w:ascii="仿宋_GB2312" w:hAnsi="仿宋_GB2312" w:cs="仿宋_GB2312" w:eastAsia="仿宋_GB2312"/>
                      <w:sz w:val="24"/>
                      <w:color w:val="0000FF"/>
                    </w:rPr>
                    <w:t>FPGA逻辑资源</w:t>
                  </w:r>
                  <w:r>
                    <w:rPr>
                      <w:rFonts w:ascii="仿宋_GB2312" w:hAnsi="仿宋_GB2312" w:cs="仿宋_GB2312" w:eastAsia="仿宋_GB2312"/>
                      <w:sz w:val="24"/>
                      <w:color w:val="0000FF"/>
                    </w:rPr>
                    <w:t>：</w:t>
                  </w:r>
                  <w:r>
                    <w:rPr>
                      <w:rFonts w:ascii="仿宋_GB2312" w:hAnsi="仿宋_GB2312" w:cs="仿宋_GB2312" w:eastAsia="仿宋_GB2312"/>
                      <w:sz w:val="24"/>
                      <w:color w:val="0000FF"/>
                    </w:rPr>
                    <w:t>360K LUT</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7.</w:t>
                  </w:r>
                  <w:r>
                    <w:rPr>
                      <w:rFonts w:ascii="仿宋_GB2312" w:hAnsi="仿宋_GB2312" w:cs="仿宋_GB2312" w:eastAsia="仿宋_GB2312"/>
                      <w:sz w:val="24"/>
                      <w:color w:val="0000FF"/>
                    </w:rPr>
                    <w:t>数据协议</w:t>
                  </w:r>
                  <w:r>
                    <w:rPr>
                      <w:rFonts w:ascii="仿宋_GB2312" w:hAnsi="仿宋_GB2312" w:cs="仿宋_GB2312" w:eastAsia="仿宋_GB2312"/>
                      <w:sz w:val="24"/>
                      <w:color w:val="0000FF"/>
                    </w:rPr>
                    <w:t>：</w:t>
                  </w:r>
                  <w:r>
                    <w:rPr>
                      <w:rFonts w:ascii="仿宋_GB2312" w:hAnsi="仿宋_GB2312" w:cs="仿宋_GB2312" w:eastAsia="仿宋_GB2312"/>
                      <w:sz w:val="24"/>
                      <w:color w:val="0000FF"/>
                    </w:rPr>
                    <w:t>PCIe Gen1 x4</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8.</w:t>
                  </w:r>
                  <w:r>
                    <w:rPr>
                      <w:rFonts w:ascii="仿宋_GB2312" w:hAnsi="仿宋_GB2312" w:cs="仿宋_GB2312" w:eastAsia="仿宋_GB2312"/>
                      <w:sz w:val="24"/>
                      <w:color w:val="0000FF"/>
                    </w:rPr>
                    <w:t>SDR处理器</w:t>
                  </w:r>
                  <w:r>
                    <w:rPr>
                      <w:rFonts w:ascii="仿宋_GB2312" w:hAnsi="仿宋_GB2312" w:cs="仿宋_GB2312" w:eastAsia="仿宋_GB2312"/>
                      <w:sz w:val="24"/>
                      <w:color w:val="0000FF"/>
                    </w:rPr>
                    <w:t>：不低于</w:t>
                  </w:r>
                  <w:r>
                    <w:rPr>
                      <w:rFonts w:ascii="仿宋_GB2312" w:hAnsi="仿宋_GB2312" w:cs="仿宋_GB2312" w:eastAsia="仿宋_GB2312"/>
                      <w:sz w:val="24"/>
                      <w:color w:val="0000FF"/>
                    </w:rPr>
                    <w:t>x86架构16核CPU，主频5.0GHz</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4"/>
                      <w:color w:val="0000FF"/>
                    </w:rPr>
                    <w:t>9.</w:t>
                  </w:r>
                  <w:r>
                    <w:rPr>
                      <w:rFonts w:ascii="仿宋_GB2312" w:hAnsi="仿宋_GB2312" w:cs="仿宋_GB2312" w:eastAsia="仿宋_GB2312"/>
                      <w:sz w:val="24"/>
                      <w:color w:val="0000FF"/>
                    </w:rPr>
                    <w:t>主控器</w:t>
                  </w:r>
                  <w:r>
                    <w:rPr>
                      <w:rFonts w:ascii="仿宋_GB2312" w:hAnsi="仿宋_GB2312" w:cs="仿宋_GB2312" w:eastAsia="仿宋_GB2312"/>
                      <w:sz w:val="24"/>
                      <w:color w:val="0000FF"/>
                    </w:rPr>
                    <w:t>220V单电源供电，总功率</w:t>
                  </w:r>
                  <w:r>
                    <w:rPr>
                      <w:rFonts w:ascii="仿宋_GB2312" w:hAnsi="仿宋_GB2312" w:cs="仿宋_GB2312" w:eastAsia="仿宋_GB2312"/>
                      <w:sz w:val="24"/>
                      <w:color w:val="0000FF"/>
                    </w:rPr>
                    <w:t>≥</w:t>
                  </w:r>
                  <w:r>
                    <w:rPr>
                      <w:rFonts w:ascii="仿宋_GB2312" w:hAnsi="仿宋_GB2312" w:cs="仿宋_GB2312" w:eastAsia="仿宋_GB2312"/>
                      <w:sz w:val="24"/>
                      <w:color w:val="0000FF"/>
                    </w:rPr>
                    <w:t>600</w:t>
                  </w:r>
                  <w:r>
                    <w:rPr>
                      <w:rFonts w:ascii="仿宋_GB2312" w:hAnsi="仿宋_GB2312" w:cs="仿宋_GB2312" w:eastAsia="仿宋_GB2312"/>
                      <w:sz w:val="24"/>
                      <w:color w:val="0000FF"/>
                    </w:rPr>
                    <w:t>W，内置</w:t>
                  </w:r>
                  <w:r>
                    <w:rPr>
                      <w:rFonts w:ascii="仿宋_GB2312" w:hAnsi="仿宋_GB2312" w:cs="仿宋_GB2312" w:eastAsia="仿宋_GB2312"/>
                      <w:sz w:val="24"/>
                      <w:color w:val="0000FF"/>
                    </w:rPr>
                    <w:t>≥</w:t>
                  </w:r>
                  <w:r>
                    <w:rPr>
                      <w:rFonts w:ascii="仿宋_GB2312" w:hAnsi="仿宋_GB2312" w:cs="仿宋_GB2312" w:eastAsia="仿宋_GB2312"/>
                      <w:sz w:val="24"/>
                      <w:color w:val="0000FF"/>
                    </w:rPr>
                    <w:t>200W宽带信号采集设备电源供电接口和</w:t>
                  </w:r>
                  <w:r>
                    <w:rPr>
                      <w:rFonts w:ascii="仿宋_GB2312" w:hAnsi="仿宋_GB2312" w:cs="仿宋_GB2312" w:eastAsia="仿宋_GB2312"/>
                      <w:sz w:val="24"/>
                      <w:color w:val="0000FF"/>
                    </w:rPr>
                    <w:t>≥</w:t>
                  </w:r>
                  <w:r>
                    <w:rPr>
                      <w:rFonts w:ascii="仿宋_GB2312" w:hAnsi="仿宋_GB2312" w:cs="仿宋_GB2312" w:eastAsia="仿宋_GB2312"/>
                      <w:sz w:val="24"/>
                      <w:color w:val="0000FF"/>
                    </w:rPr>
                    <w:t>30W扩展前端电源供电接口</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4"/>
                      <w:color w:val="0000FF"/>
                    </w:rPr>
                    <w:t>10.</w:t>
                  </w:r>
                  <w:r>
                    <w:rPr>
                      <w:rFonts w:ascii="仿宋_GB2312" w:hAnsi="仿宋_GB2312" w:cs="仿宋_GB2312" w:eastAsia="仿宋_GB2312"/>
                      <w:sz w:val="24"/>
                      <w:color w:val="0000FF"/>
                    </w:rPr>
                    <w:t>主控器提供宽带信号采集设备安装孔，可同时挂载</w:t>
                  </w:r>
                  <w:r>
                    <w:rPr>
                      <w:rFonts w:ascii="仿宋_GB2312" w:hAnsi="仿宋_GB2312" w:cs="仿宋_GB2312" w:eastAsia="仿宋_GB2312"/>
                      <w:sz w:val="24"/>
                      <w:color w:val="0000FF"/>
                    </w:rPr>
                    <w:t>2台发射机或接收机，主控器重量</w:t>
                  </w:r>
                  <w:r>
                    <w:rPr>
                      <w:rFonts w:ascii="仿宋_GB2312" w:hAnsi="仿宋_GB2312" w:cs="仿宋_GB2312" w:eastAsia="仿宋_GB2312"/>
                      <w:sz w:val="24"/>
                      <w:color w:val="0000FF"/>
                    </w:rPr>
                    <w:t>≤</w:t>
                  </w:r>
                  <w:r>
                    <w:rPr>
                      <w:rFonts w:ascii="仿宋_GB2312" w:hAnsi="仿宋_GB2312" w:cs="仿宋_GB2312" w:eastAsia="仿宋_GB2312"/>
                      <w:sz w:val="24"/>
                      <w:color w:val="0000FF"/>
                    </w:rPr>
                    <w:t>6kg，</w:t>
                  </w:r>
                  <w:r>
                    <w:rPr>
                      <w:rFonts w:ascii="仿宋_GB2312" w:hAnsi="仿宋_GB2312" w:cs="仿宋_GB2312" w:eastAsia="仿宋_GB2312"/>
                      <w:sz w:val="24"/>
                      <w:color w:val="0000FF"/>
                    </w:rPr>
                    <w:t>容积</w:t>
                  </w:r>
                  <w:r>
                    <w:rPr>
                      <w:rFonts w:ascii="仿宋_GB2312" w:hAnsi="仿宋_GB2312" w:cs="仿宋_GB2312" w:eastAsia="仿宋_GB2312"/>
                      <w:sz w:val="24"/>
                      <w:color w:val="0000FF"/>
                    </w:rPr>
                    <w:t>≤</w:t>
                  </w:r>
                  <w:r>
                    <w:rPr>
                      <w:rFonts w:ascii="仿宋_GB2312" w:hAnsi="仿宋_GB2312" w:cs="仿宋_GB2312" w:eastAsia="仿宋_GB2312"/>
                      <w:sz w:val="24"/>
                      <w:color w:val="0000FF"/>
                    </w:rPr>
                    <w:t>0.01m</w:t>
                  </w:r>
                  <w:r>
                    <w:rPr>
                      <w:rFonts w:ascii="仿宋_GB2312" w:hAnsi="仿宋_GB2312" w:cs="仿宋_GB2312" w:eastAsia="仿宋_GB2312"/>
                      <w:sz w:val="24"/>
                      <w:color w:val="0000FF"/>
                    </w:rPr>
                    <w:t>³；</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4"/>
                      <w:color w:val="0000FF"/>
                    </w:rPr>
                    <w:t>11.</w:t>
                  </w:r>
                  <w:r>
                    <w:rPr>
                      <w:rFonts w:ascii="仿宋_GB2312" w:hAnsi="仿宋_GB2312" w:cs="仿宋_GB2312" w:eastAsia="仿宋_GB2312"/>
                      <w:sz w:val="24"/>
                      <w:color w:val="0000FF"/>
                    </w:rPr>
                    <w:t>图形化开发界面，可通过调用</w:t>
                  </w:r>
                  <w:r>
                    <w:rPr>
                      <w:rFonts w:ascii="仿宋_GB2312" w:hAnsi="仿宋_GB2312" w:cs="仿宋_GB2312" w:eastAsia="仿宋_GB2312"/>
                      <w:sz w:val="24"/>
                      <w:color w:val="0000FF"/>
                    </w:rPr>
                    <w:t>MATLAB代码验证感知通信算法。支持120MHz带宽无丢点连续落盘。提供802.11ax HESU波形空口收发波形的演示程序</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4"/>
                      <w:color w:val="0000FF"/>
                    </w:rPr>
                    <w:t>12.</w:t>
                  </w:r>
                  <w:r>
                    <w:rPr>
                      <w:rFonts w:ascii="仿宋_GB2312" w:hAnsi="仿宋_GB2312" w:cs="仿宋_GB2312" w:eastAsia="仿宋_GB2312"/>
                      <w:sz w:val="24"/>
                      <w:color w:val="0000FF"/>
                    </w:rPr>
                    <w:t>便携</w:t>
                  </w:r>
                  <w:r>
                    <w:rPr>
                      <w:rFonts w:ascii="仿宋_GB2312" w:hAnsi="仿宋_GB2312" w:cs="仿宋_GB2312" w:eastAsia="仿宋_GB2312"/>
                      <w:sz w:val="24"/>
                      <w:color w:val="0000FF"/>
                    </w:rPr>
                    <w:t>GPS同步器：提供双路PPS和10M OCXO输出，液晶显示GPS状态，包括锁星数量、锁定状态等。长宽高相加</w:t>
                  </w:r>
                  <w:r>
                    <w:rPr>
                      <w:rFonts w:ascii="仿宋_GB2312" w:hAnsi="仿宋_GB2312" w:cs="仿宋_GB2312" w:eastAsia="仿宋_GB2312"/>
                      <w:sz w:val="24"/>
                      <w:color w:val="0000FF"/>
                    </w:rPr>
                    <w:t>≤</w:t>
                  </w:r>
                  <w:r>
                    <w:rPr>
                      <w:rFonts w:ascii="仿宋_GB2312" w:hAnsi="仿宋_GB2312" w:cs="仿宋_GB2312" w:eastAsia="仿宋_GB2312"/>
                      <w:sz w:val="24"/>
                      <w:color w:val="0000FF"/>
                    </w:rPr>
                    <w:t>30</w:t>
                  </w:r>
                  <w:r>
                    <w:rPr>
                      <w:rFonts w:ascii="仿宋_GB2312" w:hAnsi="仿宋_GB2312" w:cs="仿宋_GB2312" w:eastAsia="仿宋_GB2312"/>
                      <w:sz w:val="24"/>
                      <w:color w:val="0000FF"/>
                    </w:rPr>
                    <w:t>cm</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 xml:space="preserve">13. </w:t>
                  </w:r>
                  <w:r>
                    <w:rPr>
                      <w:rFonts w:ascii="仿宋_GB2312" w:hAnsi="仿宋_GB2312" w:cs="仿宋_GB2312" w:eastAsia="仿宋_GB2312"/>
                      <w:sz w:val="24"/>
                      <w:color w:val="0000FF"/>
                    </w:rPr>
                    <w:t>AI处理平台：</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32 核ARM架构 CPU、80核图形处理器、32核NPU加速器、512GB 共享显存/内存（带宽不低于800GB/s）、8TB 全固态硬盘、功耗不高于500W</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14.</w:t>
                  </w:r>
                  <w:r>
                    <w:rPr>
                      <w:rFonts w:ascii="仿宋_GB2312" w:hAnsi="仿宋_GB2312" w:cs="仿宋_GB2312" w:eastAsia="仿宋_GB2312"/>
                      <w:sz w:val="24"/>
                      <w:color w:val="0000FF"/>
                    </w:rPr>
                    <w:t>微波近场测试系统要求：</w:t>
                  </w:r>
                </w:p>
                <w:p>
                  <w:pPr>
                    <w:pStyle w:val="null3"/>
                  </w:pPr>
                  <w:r>
                    <w:rPr>
                      <w:rFonts w:ascii="仿宋_GB2312" w:hAnsi="仿宋_GB2312" w:cs="仿宋_GB2312" w:eastAsia="仿宋_GB2312"/>
                      <w:sz w:val="24"/>
                      <w:color w:val="0000FF"/>
                    </w:rPr>
                    <w:t>14.1</w:t>
                  </w:r>
                  <w:r>
                    <w:rPr>
                      <w:rFonts w:ascii="仿宋_GB2312" w:hAnsi="仿宋_GB2312" w:cs="仿宋_GB2312" w:eastAsia="仿宋_GB2312"/>
                      <w:sz w:val="24"/>
                      <w:color w:val="0000FF"/>
                    </w:rPr>
                    <w:t>被测件工作频段：</w:t>
                  </w:r>
                  <w:r>
                    <w:rPr>
                      <w:rFonts w:ascii="仿宋_GB2312" w:hAnsi="仿宋_GB2312" w:cs="仿宋_GB2312" w:eastAsia="仿宋_GB2312"/>
                      <w:sz w:val="24"/>
                      <w:color w:val="0000FF"/>
                    </w:rPr>
                    <w:t>L</w:t>
                  </w:r>
                  <w:r>
                    <w:rPr>
                      <w:rFonts w:ascii="仿宋_GB2312" w:hAnsi="仿宋_GB2312" w:cs="仿宋_GB2312" w:eastAsia="仿宋_GB2312"/>
                      <w:sz w:val="19"/>
                      <w:color w:val="333333"/>
                      <w:shd w:fill="FFFFFF" w:val="clear"/>
                    </w:rPr>
                    <w:t>~</w:t>
                  </w:r>
                  <w:r>
                    <w:rPr>
                      <w:rFonts w:ascii="仿宋_GB2312" w:hAnsi="仿宋_GB2312" w:cs="仿宋_GB2312" w:eastAsia="仿宋_GB2312"/>
                      <w:sz w:val="24"/>
                      <w:color w:val="0000FF"/>
                    </w:rPr>
                    <w:t>Ka频段；</w:t>
                  </w:r>
                </w:p>
                <w:p>
                  <w:pPr>
                    <w:pStyle w:val="null3"/>
                  </w:pPr>
                  <w:r>
                    <w:rPr>
                      <w:rFonts w:ascii="仿宋_GB2312" w:hAnsi="仿宋_GB2312" w:cs="仿宋_GB2312" w:eastAsia="仿宋_GB2312"/>
                      <w:sz w:val="24"/>
                      <w:color w:val="0000FF"/>
                    </w:rPr>
                    <w:t>14.2</w:t>
                  </w:r>
                  <w:r>
                    <w:rPr>
                      <w:rFonts w:ascii="仿宋_GB2312" w:hAnsi="仿宋_GB2312" w:cs="仿宋_GB2312" w:eastAsia="仿宋_GB2312"/>
                      <w:sz w:val="24"/>
                      <w:color w:val="0000FF"/>
                    </w:rPr>
                    <w:t>被测件工作模式：脉冲、连续波；</w:t>
                  </w:r>
                </w:p>
                <w:p>
                  <w:pPr>
                    <w:pStyle w:val="null3"/>
                  </w:pPr>
                  <w:r>
                    <w:rPr>
                      <w:rFonts w:ascii="仿宋_GB2312" w:hAnsi="仿宋_GB2312" w:cs="仿宋_GB2312" w:eastAsia="仿宋_GB2312"/>
                      <w:sz w:val="24"/>
                      <w:color w:val="0000FF"/>
                    </w:rPr>
                    <w:t>14.3</w:t>
                  </w:r>
                  <w:r>
                    <w:rPr>
                      <w:rFonts w:ascii="仿宋_GB2312" w:hAnsi="仿宋_GB2312" w:cs="仿宋_GB2312" w:eastAsia="仿宋_GB2312"/>
                      <w:sz w:val="24"/>
                      <w:color w:val="0000FF"/>
                    </w:rPr>
                    <w:t>测试方法：近场平面扫描测试；</w:t>
                  </w:r>
                </w:p>
                <w:p>
                  <w:pPr>
                    <w:pStyle w:val="null3"/>
                  </w:pPr>
                  <w:r>
                    <w:rPr>
                      <w:rFonts w:ascii="仿宋_GB2312" w:hAnsi="仿宋_GB2312" w:cs="仿宋_GB2312" w:eastAsia="仿宋_GB2312"/>
                      <w:sz w:val="24"/>
                      <w:color w:val="0000FF"/>
                    </w:rPr>
                    <w:t>14.4</w:t>
                  </w:r>
                  <w:r>
                    <w:rPr>
                      <w:rFonts w:ascii="仿宋_GB2312" w:hAnsi="仿宋_GB2312" w:cs="仿宋_GB2312" w:eastAsia="仿宋_GB2312"/>
                      <w:sz w:val="24"/>
                      <w:color w:val="0000FF"/>
                    </w:rPr>
                    <w:t>扫描采样架行程：</w:t>
                  </w:r>
                  <w:r>
                    <w:rPr>
                      <w:rFonts w:ascii="仿宋_GB2312" w:hAnsi="仿宋_GB2312" w:cs="仿宋_GB2312" w:eastAsia="仿宋_GB2312"/>
                      <w:sz w:val="24"/>
                      <w:color w:val="0000FF"/>
                    </w:rPr>
                    <w:t>1.5米×1.5米，X、Y、Z轴定位精度0.03mm，系统平面度0.03mm. RMS</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14.5</w:t>
                  </w:r>
                  <w:r>
                    <w:rPr>
                      <w:rFonts w:ascii="仿宋_GB2312" w:hAnsi="仿宋_GB2312" w:cs="仿宋_GB2312" w:eastAsia="仿宋_GB2312"/>
                      <w:sz w:val="24"/>
                      <w:color w:val="0000FF"/>
                    </w:rPr>
                    <w:t>最大可测天线口径：</w:t>
                  </w:r>
                  <w:r>
                    <w:rPr>
                      <w:rFonts w:ascii="仿宋_GB2312" w:hAnsi="仿宋_GB2312" w:cs="仿宋_GB2312" w:eastAsia="仿宋_GB2312"/>
                      <w:sz w:val="24"/>
                      <w:color w:val="0000FF"/>
                    </w:rPr>
                    <w:t>1米×1米（按±60度扫描角，8GHz工作频率进行计算）；</w:t>
                  </w:r>
                </w:p>
                <w:p>
                  <w:pPr>
                    <w:pStyle w:val="null3"/>
                  </w:pPr>
                  <w:r>
                    <w:rPr>
                      <w:rFonts w:ascii="仿宋_GB2312" w:hAnsi="仿宋_GB2312" w:cs="仿宋_GB2312" w:eastAsia="仿宋_GB2312"/>
                      <w:sz w:val="24"/>
                      <w:color w:val="0000FF"/>
                    </w:rPr>
                    <w:t>14.6</w:t>
                  </w:r>
                  <w:r>
                    <w:rPr>
                      <w:rFonts w:ascii="仿宋_GB2312" w:hAnsi="仿宋_GB2312" w:cs="仿宋_GB2312" w:eastAsia="仿宋_GB2312"/>
                      <w:sz w:val="24"/>
                      <w:color w:val="0000FF"/>
                    </w:rPr>
                    <w:t>天线纵深安装空间：</w:t>
                  </w:r>
                  <w:r>
                    <w:rPr>
                      <w:rFonts w:ascii="仿宋_GB2312" w:hAnsi="仿宋_GB2312" w:cs="仿宋_GB2312" w:eastAsia="仿宋_GB2312"/>
                      <w:sz w:val="24"/>
                      <w:color w:val="0000FF"/>
                    </w:rPr>
                    <w:t>≥1米；</w:t>
                  </w:r>
                </w:p>
                <w:p>
                  <w:pPr>
                    <w:pStyle w:val="null3"/>
                  </w:pPr>
                  <w:r>
                    <w:rPr>
                      <w:rFonts w:ascii="仿宋_GB2312" w:hAnsi="仿宋_GB2312" w:cs="仿宋_GB2312" w:eastAsia="仿宋_GB2312"/>
                      <w:sz w:val="24"/>
                      <w:color w:val="0000FF"/>
                    </w:rPr>
                    <w:t>14.7</w:t>
                  </w:r>
                  <w:r>
                    <w:rPr>
                      <w:rFonts w:ascii="仿宋_GB2312" w:hAnsi="仿宋_GB2312" w:cs="仿宋_GB2312" w:eastAsia="仿宋_GB2312"/>
                      <w:sz w:val="24"/>
                      <w:color w:val="0000FF"/>
                    </w:rPr>
                    <w:t>支持多波位测试；</w:t>
                  </w:r>
                </w:p>
                <w:p>
                  <w:pPr>
                    <w:pStyle w:val="null3"/>
                  </w:pPr>
                  <w:r>
                    <w:rPr>
                      <w:rFonts w:ascii="仿宋_GB2312" w:hAnsi="仿宋_GB2312" w:cs="仿宋_GB2312" w:eastAsia="仿宋_GB2312"/>
                      <w:sz w:val="24"/>
                      <w:color w:val="0000FF"/>
                    </w:rPr>
                    <w:t>14.8</w:t>
                  </w:r>
                  <w:r>
                    <w:rPr>
                      <w:rFonts w:ascii="仿宋_GB2312" w:hAnsi="仿宋_GB2312" w:cs="仿宋_GB2312" w:eastAsia="仿宋_GB2312"/>
                      <w:sz w:val="24"/>
                      <w:color w:val="0000FF"/>
                    </w:rPr>
                    <w:t>测试数据后处理能力：口径场反演、远场方向图、交叉极化等指标的计算；</w:t>
                  </w:r>
                </w:p>
                <w:p>
                  <w:pPr>
                    <w:pStyle w:val="null3"/>
                  </w:pPr>
                  <w:r>
                    <w:rPr>
                      <w:rFonts w:ascii="仿宋_GB2312" w:hAnsi="仿宋_GB2312" w:cs="仿宋_GB2312" w:eastAsia="仿宋_GB2312"/>
                      <w:sz w:val="24"/>
                      <w:color w:val="0000FF"/>
                    </w:rPr>
                    <w:t>14.9</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G/TEIRP 测试等；</w:t>
                  </w:r>
                </w:p>
                <w:p>
                  <w:pPr>
                    <w:pStyle w:val="null3"/>
                  </w:pPr>
                  <w:r>
                    <w:rPr>
                      <w:rFonts w:ascii="仿宋_GB2312" w:hAnsi="仿宋_GB2312" w:cs="仿宋_GB2312" w:eastAsia="仿宋_GB2312"/>
                      <w:sz w:val="24"/>
                      <w:color w:val="0000FF"/>
                    </w:rPr>
                    <w:t>14.10</w:t>
                  </w:r>
                  <w:r>
                    <w:rPr>
                      <w:rFonts w:ascii="仿宋_GB2312" w:hAnsi="仿宋_GB2312" w:cs="仿宋_GB2312" w:eastAsia="仿宋_GB2312"/>
                      <w:sz w:val="24"/>
                      <w:color w:val="0000FF"/>
                    </w:rPr>
                    <w:t>线极化和圆极化天线测试；</w:t>
                  </w:r>
                </w:p>
                <w:p>
                  <w:pPr>
                    <w:pStyle w:val="null3"/>
                  </w:pPr>
                  <w:r>
                    <w:rPr>
                      <w:rFonts w:ascii="仿宋_GB2312" w:hAnsi="仿宋_GB2312" w:cs="仿宋_GB2312" w:eastAsia="仿宋_GB2312"/>
                      <w:sz w:val="24"/>
                      <w:color w:val="0000FF"/>
                    </w:rPr>
                    <w:t>15.</w:t>
                  </w:r>
                  <w:r>
                    <w:rPr>
                      <w:rFonts w:ascii="仿宋_GB2312" w:hAnsi="仿宋_GB2312" w:cs="仿宋_GB2312" w:eastAsia="仿宋_GB2312"/>
                      <w:sz w:val="24"/>
                      <w:color w:val="0000FF"/>
                    </w:rPr>
                    <w:t>高性能</w:t>
                  </w:r>
                  <w:r>
                    <w:rPr>
                      <w:rFonts w:ascii="仿宋_GB2312" w:hAnsi="仿宋_GB2312" w:cs="仿宋_GB2312" w:eastAsia="仿宋_GB2312"/>
                      <w:sz w:val="24"/>
                      <w:color w:val="0000FF"/>
                    </w:rPr>
                    <w:t>GPU服务器，实现并行云计算，具体指标：</w:t>
                  </w:r>
                </w:p>
                <w:p>
                  <w:pPr>
                    <w:pStyle w:val="null3"/>
                  </w:pPr>
                  <w:r>
                    <w:rPr>
                      <w:rFonts w:ascii="仿宋_GB2312" w:hAnsi="仿宋_GB2312" w:cs="仿宋_GB2312" w:eastAsia="仿宋_GB2312"/>
                      <w:sz w:val="24"/>
                      <w:color w:val="0000FF"/>
                    </w:rPr>
                    <w:t xml:space="preserve">15.1 </w:t>
                  </w:r>
                  <w:r>
                    <w:rPr>
                      <w:rFonts w:ascii="仿宋_GB2312" w:hAnsi="仿宋_GB2312" w:cs="仿宋_GB2312" w:eastAsia="仿宋_GB2312"/>
                      <w:sz w:val="24"/>
                      <w:color w:val="0000FF"/>
                    </w:rPr>
                    <w:t>CPU</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i9-14900KF</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 xml:space="preserve">15.2 </w:t>
                  </w:r>
                  <w:r>
                    <w:rPr>
                      <w:rFonts w:ascii="仿宋_GB2312" w:hAnsi="仿宋_GB2312" w:cs="仿宋_GB2312" w:eastAsia="仿宋_GB2312"/>
                      <w:sz w:val="24"/>
                      <w:color w:val="0000FF"/>
                    </w:rPr>
                    <w:t>主板</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Z790-P WIFI</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 xml:space="preserve">15.3 </w:t>
                  </w:r>
                  <w:r>
                    <w:rPr>
                      <w:rFonts w:ascii="仿宋_GB2312" w:hAnsi="仿宋_GB2312" w:cs="仿宋_GB2312" w:eastAsia="仿宋_GB2312"/>
                      <w:sz w:val="24"/>
                      <w:color w:val="0000FF"/>
                    </w:rPr>
                    <w:t>显卡</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4090公版</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 xml:space="preserve">15.4 </w:t>
                  </w:r>
                  <w:r>
                    <w:rPr>
                      <w:rFonts w:ascii="仿宋_GB2312" w:hAnsi="仿宋_GB2312" w:cs="仿宋_GB2312" w:eastAsia="仿宋_GB2312"/>
                      <w:sz w:val="24"/>
                      <w:color w:val="0000FF"/>
                    </w:rPr>
                    <w:t>SSD</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SSD 2TB NVME</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 xml:space="preserve">15.5 </w:t>
                  </w:r>
                  <w:r>
                    <w:rPr>
                      <w:rFonts w:ascii="仿宋_GB2312" w:hAnsi="仿宋_GB2312" w:cs="仿宋_GB2312" w:eastAsia="仿宋_GB2312"/>
                      <w:sz w:val="24"/>
                      <w:color w:val="0000FF"/>
                    </w:rPr>
                    <w:t>HDD</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2TB SATA6GB/s</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15.6</w:t>
                  </w:r>
                  <w:r>
                    <w:rPr>
                      <w:rFonts w:ascii="仿宋_GB2312" w:hAnsi="仿宋_GB2312" w:cs="仿宋_GB2312" w:eastAsia="仿宋_GB2312"/>
                      <w:sz w:val="24"/>
                      <w:color w:val="0000FF"/>
                    </w:rPr>
                    <w:t>内存</w:t>
                  </w:r>
                  <w:r>
                    <w:rPr>
                      <w:rFonts w:ascii="仿宋_GB2312" w:hAnsi="仿宋_GB2312" w:cs="仿宋_GB2312" w:eastAsia="仿宋_GB2312"/>
                      <w:sz w:val="24"/>
                      <w:color w:val="0000FF"/>
                    </w:rPr>
                    <w:t>：配置不低于</w:t>
                  </w:r>
                  <w:r>
                    <w:rPr>
                      <w:rFonts w:ascii="仿宋_GB2312" w:hAnsi="仿宋_GB2312" w:cs="仿宋_GB2312" w:eastAsia="仿宋_GB2312"/>
                      <w:sz w:val="24"/>
                      <w:color w:val="0000FF"/>
                    </w:rPr>
                    <w:t>FURY 64GB</w:t>
                  </w:r>
                  <w:r>
                    <w:rPr>
                      <w:rFonts w:ascii="仿宋_GB2312" w:hAnsi="仿宋_GB2312" w:cs="仿宋_GB2312" w:eastAsia="仿宋_GB2312"/>
                      <w:sz w:val="24"/>
                      <w:color w:val="0000FF"/>
                    </w:rPr>
                    <w:t>；</w:t>
                  </w:r>
                </w:p>
                <w:p>
                  <w:pPr>
                    <w:pStyle w:val="null3"/>
                  </w:pPr>
                  <w:r>
                    <w:rPr>
                      <w:rFonts w:ascii="仿宋_GB2312" w:hAnsi="仿宋_GB2312" w:cs="仿宋_GB2312" w:eastAsia="仿宋_GB2312"/>
                      <w:sz w:val="24"/>
                      <w:color w:val="0000FF"/>
                    </w:rPr>
                    <w:t xml:space="preserve">15.7 </w:t>
                  </w:r>
                  <w:r>
                    <w:rPr>
                      <w:rFonts w:ascii="仿宋_GB2312" w:hAnsi="仿宋_GB2312" w:cs="仿宋_GB2312" w:eastAsia="仿宋_GB2312"/>
                      <w:sz w:val="24"/>
                      <w:color w:val="0000FF"/>
                    </w:rPr>
                    <w:t>电源、散热、机箱</w:t>
                  </w:r>
                  <w:r>
                    <w:rPr>
                      <w:rFonts w:ascii="仿宋_GB2312" w:hAnsi="仿宋_GB2312" w:cs="仿宋_GB2312" w:eastAsia="仿宋_GB2312"/>
                      <w:sz w:val="24"/>
                      <w:color w:val="0000FF"/>
                    </w:rPr>
                    <w:t>、显示器、键鼠</w:t>
                  </w:r>
                  <w:r>
                    <w:rPr>
                      <w:rFonts w:ascii="仿宋_GB2312" w:hAnsi="仿宋_GB2312" w:cs="仿宋_GB2312" w:eastAsia="仿宋_GB2312"/>
                      <w:sz w:val="24"/>
                      <w:color w:val="0000FF"/>
                    </w:rPr>
                    <w:t>；</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包括必需的线缆、附件、耗材等</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1套</w:t>
                  </w:r>
                </w:p>
              </w:tc>
            </w:tr>
            <w:tr>
              <w:tc>
                <w:tcPr>
                  <w:tcW w:type="dxa" w:w="317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备注：所有技术指标不允许负偏离；其中，技术指标中标记</w:t>
                  </w:r>
                  <w:r>
                    <w:rPr>
                      <w:rFonts w:ascii="仿宋_GB2312" w:hAnsi="仿宋_GB2312" w:cs="仿宋_GB2312" w:eastAsia="仿宋_GB2312"/>
                      <w:sz w:val="24"/>
                      <w:color w:val="0000FF"/>
                    </w:rPr>
                    <w:t>“▲”项至少须提供下列证明材料之一：①产品说明书；②产品检测报告；③产品彩页；④产品截图；⑤官方网页截图，供应商应在响应文件中给出明确的证明材料索引，未提供有效证明材料或证明材料中内容与所填报指标不一致的或缺项、漏项的，将视为此条不满足，视同负偏离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自合同签订之日起90个工作日完成供货、安装及调试。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于签订合同前向学校缴纳5%的履约保证金，合同签订后采购人向成交供应商支付40%合同金额的预付款。产品安装调试经学校验收合格后一次性支付60%合同金额的余款，同时缴纳的5%履约保证金无质量问题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2.货物到货后，双方共同开箱验收。在检查 货物原产地、型号、规格、配 置符合合同要求后，由成交供应商负责安装调试、采购人使用单位负责技术验收（成交供应商协助），验收以国内行业标准或合同文本货物供货配置清单中描述的有关技术要求为准。 3.采购人使用单位初验合格后提出验收申请，学校相关部门根据使用单位技术验收结果，组织有关专家进行货物的最终验收。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1.质量保证期：自验收合格之日起1年； 2.售后服务要求：即时响应（包括电话响应）；电话响应无法解决 12 小时内到达现场。修复时间 24 小时内解决；如在 48 小时内无法修复，则提供部件冗余服务或采取应急措施，提供相同产品或不低于故障产品规格档次的备用产品供采购人使用，以确保货物的正常使用。 3.所有硬件过一年保修期后按原价维修（按投标货物价格数量表所列价格，更换零部件的按合同签订时的零部件价格）、所有软件过一年保修升级期内按按原价的10%进行维修升级，响应速度同保修期响应速度。</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谈判保证金注意事项：（1）谈判保证金须从供应商户名支付，如从个人户 名或非供应商户名支付，将被拒绝，视为自动放弃投标权利（该个人是供应商的情形除外）；谈判保证金缴纳时间：开标时间之前；以保函形式交纳谈判保证金的，供应商应在投标截止时间前将保函扫描成清晰的PDF文件，发送至邮箱2973608682@qq.com（邮件命名：项目名称+项目编号）；供应商应在响应文件中附保函复印件。保函必须由具有开具投标保函资格的单位开具；若供应商违约，开具保函单位承担连带责任；（2）谈判保证金的提交金额、时间不满足采购文件要求的，投标无效；（3）谈判保证金以采购代理机构到账凭证为准，供应商无需更换交纳凭证，由采购代理机构统一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报价须不超过招标文件中规定的预算金额或者最高限价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响应文件须按照招标文件要求签署、盖章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实施方案.docx 资格证明材料.docx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实施方案.docx 资格证明材料.docx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响应文件是否响应本项目商务要求及服务内容及要求中的标记“★”条款</w:t>
            </w:r>
          </w:p>
        </w:tc>
        <w:tc>
          <w:tcPr>
            <w:tcW w:type="dxa" w:w="3322"/>
          </w:tcPr>
          <w:p>
            <w:pPr>
              <w:pStyle w:val="null3"/>
            </w:pPr>
            <w:r>
              <w:rPr>
                <w:rFonts w:ascii="仿宋_GB2312" w:hAnsi="仿宋_GB2312" w:cs="仿宋_GB2312" w:eastAsia="仿宋_GB2312"/>
              </w:rPr>
              <w:t>响应文件完全响应本项目商务要求及采购内容及采购内容要求中的标记“★”条款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