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版本号：KY2025-1-637.20250910001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公平竞争审查大数据服务项目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KY2025-1-637.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公平竞争审查大数据服务项目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KY2025-1-637.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公平竞争审查大数据服务项目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陕西省市场监督管理局公平竞争审查大数据服务项目，1项，具体内容详见采购文件第三章。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7、法定代表人授权书：法定代表人授权书及被授权人身份证明。（法定代表人直接磋商只须提交其身份证明）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执行，不足伍仟按伍仟元收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陕西省市场监督管理局公平竞争审查大数据服务项目，具体详见项目需求。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公平竞争审查大数据服务项目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标的名称：公平竞争审查大数据服务项目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抽查</w:t>
            </w:r>
            <w:r>
              <w:rPr>
                <w:rFonts w:ascii="仿宋_GB2312" w:hAnsi="仿宋_GB2312" w:cs="仿宋_GB2312" w:eastAsia="仿宋_GB2312"/>
                <w:sz w:val="24"/>
              </w:rPr>
              <w:t>范围</w:t>
            </w:r>
          </w:p>
          <w:p>
            <w:pPr>
              <w:pStyle w:val="null3"/>
              <w:ind w:firstLine="480"/>
              <w:jc w:val="both"/>
            </w:pPr>
            <w:r>
              <w:rPr>
                <w:rFonts w:ascii="仿宋_GB2312" w:hAnsi="仿宋_GB2312" w:cs="仿宋_GB2312" w:eastAsia="仿宋_GB2312"/>
                <w:sz w:val="24"/>
              </w:rPr>
              <w:t>抽查范围为陕西省市场监管局指定的陕西省人民政府及其所属26个省级部门、西安市等11个设区市人民政府及其所属20个市级部门、107个县（市、区）政府（共365个单位），2025年1月至12月公开发布的涉及经营者经济活动的政策措施开展网上抽查。同时，按照陕西省市场监管局的指定，对具体的区域和行业竞争状况开展随机抽查。</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本项目提供公平竞争审查大数据抽查服务，具体工作步骤包括：明确工作范围、抽取政策文件、筛选政策文件（与经营者经济活动相关）、机器审查、专家人工复核、统计分析出报告。项目工作框架大致如下：</w:t>
            </w:r>
          </w:p>
          <w:p>
            <w:pPr>
              <w:pStyle w:val="null3"/>
            </w:pPr>
            <w:r>
              <w:rPr>
                <w:rFonts w:ascii="仿宋_GB2312" w:hAnsi="仿宋_GB2312" w:cs="仿宋_GB2312" w:eastAsia="仿宋_GB2312"/>
                <w:sz w:val="24"/>
              </w:rPr>
              <w:t xml:space="preserve">  通过人工智能抽查与识别手段，从陕西省市场监管局指定的政府及部门网站抓取公开发布的政策措施，预计不少于20000份，并按照是否与经营主体经济活动相关进行筛选。通过“AI智慧审查”和人工专家复核相结合的方式，确定出涉嫌违反公平竞争审查标准的政策措施清单。按季度对抽查的数据进行分析，形成每季度的抽查报告。同时，按照陕西省市场监管局的指定，对具体的区域和行业竞争状况开展随机抽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服务期限：2025年全年。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陕西省市场监督管理局指定地点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4供应商资格证明文件.docx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4供应商资格证明文件.docx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4供应商资格证明文件.docx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项目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1分项报价表.docx 7保证金交纳凭证保函.docx 中小企业声明函 3商务条款响应说明.docx 4供应商资格证明文件.docx 6供应商承诺书.docx 2服务内容及服务要求应答表.docx 5响应方案说明.docx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7保证金交纳凭证保函.docx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1分项报价表.docx 3商务条款响应说明.docx 标的清单 4供应商资格证明文件.docx 响应函 2服务内容及服务要求应答表.docx 5响应方案说明.docx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提出针对本项目的总体服务方案，内容包括：①服务目标、②工作计划、③工作程序、④工作成果、⑤重难点问题解决措施、⑥合理化建议。 方案各项内容全面详细、阐述条理清晰、对评审内容中的各项要求有详细描述及说明得24分，每有一项缺项扣4分，每有一项内容存在一处缺陷扣1分，扣完为止。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提出针对本项目的进度保证措施，内容包括：①项目进度安排、②组织协调措施、③进度控制与管理。 方案各项内容全面详细、阐述条理清晰、对评审内容中的各项要求有详细描述及说明得6分，每有一项缺项扣2分，每有一项内容存在一处缺陷扣1分，扣完为止。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项目团队成员能力</w:t>
            </w:r>
          </w:p>
        </w:tc>
        <w:tc>
          <w:tcPr>
            <w:tcW w:type="dxa" w:w="2492"/>
          </w:tcPr>
          <w:p>
            <w:pPr>
              <w:pStyle w:val="null3"/>
            </w:pPr>
            <w:r>
              <w:rPr>
                <w:rFonts w:ascii="仿宋_GB2312" w:hAnsi="仿宋_GB2312" w:cs="仿宋_GB2312" w:eastAsia="仿宋_GB2312"/>
              </w:rPr>
              <w:t>1.供应商投入本项目的项目负责人具备以下要求： ①具有正高级职称的，得5分；副高级职称的，得3分 ②项目负责人研究成果包括公开发表的反垄断领域论文、本人主持的省部级以上科研项目等，提供一项得4分，满分20分。 2、项目团队成员(项目负责人除外)专业（法学、经济学等）与本项目相关，1人得1分，本项最高得5分； 注：提供以上人员相关证明材料，并加盖公章，否则不得分。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提出针对本项目的应急保障措施，内容包括：①人员安排及响应时间、②突发事件解决能力及措施。 方案各项内容全面详细、阐述条理清晰、对评审内容中的各项要求有详细描述及说明得10分，每有一项缺项扣5分，每有一项内容存在一处缺陷扣1分，扣完为止。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后续服务方案及承诺</w:t>
            </w:r>
          </w:p>
        </w:tc>
        <w:tc>
          <w:tcPr>
            <w:tcW w:type="dxa" w:w="2492"/>
          </w:tcPr>
          <w:p>
            <w:pPr>
              <w:pStyle w:val="null3"/>
            </w:pPr>
            <w:r>
              <w:rPr>
                <w:rFonts w:ascii="仿宋_GB2312" w:hAnsi="仿宋_GB2312" w:cs="仿宋_GB2312" w:eastAsia="仿宋_GB2312"/>
              </w:rPr>
              <w:t>提出针对本项目的后续服务方案及承诺，内容包括： ①对于本项目后续实施服务有明确的服务范围、服务时限和服务措施等。 ②对本项目实施及协调过程有明确承诺，并承诺积极按照采购人提出的要求或意见改进工作，确保项目顺利实施。 方案各项内容全面详细、阐述条理清晰、对评审内容中的各项要求有详细描述及说明得10分，每有一项缺项扣5分，每有一项内容存在一处缺陷扣1分，扣完为止。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供应商提供2022年1月1日至今（以合同签订日期为准）类似项目的业绩合同（公平竞争审查、竞争状况评估），每份计1分，满分10分。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详见附件：2服务内容及服务要求应答表.docx</w:t>
      </w:r>
    </w:p>
    <w:p>
      <w:pPr>
        <w:pStyle w:val="null3"/>
        <w:ind w:firstLine="960"/>
      </w:pPr>
      <w:r>
        <w:rPr>
          <w:rFonts w:ascii="仿宋_GB2312" w:hAnsi="仿宋_GB2312" w:cs="仿宋_GB2312" w:eastAsia="仿宋_GB2312"/>
        </w:rPr>
        <w:t>详见附件：3商务条款响应说明.docx</w:t>
      </w:r>
    </w:p>
    <w:p>
      <w:pPr>
        <w:pStyle w:val="null3"/>
        <w:ind w:firstLine="960"/>
      </w:pPr>
      <w:r>
        <w:rPr>
          <w:rFonts w:ascii="仿宋_GB2312" w:hAnsi="仿宋_GB2312" w:cs="仿宋_GB2312" w:eastAsia="仿宋_GB2312"/>
        </w:rPr>
        <w:t>详见附件：4供应商资格证明文件.docx</w:t>
      </w:r>
    </w:p>
    <w:p>
      <w:pPr>
        <w:pStyle w:val="null3"/>
        <w:ind w:firstLine="960"/>
      </w:pPr>
      <w:r>
        <w:rPr>
          <w:rFonts w:ascii="仿宋_GB2312" w:hAnsi="仿宋_GB2312" w:cs="仿宋_GB2312" w:eastAsia="仿宋_GB2312"/>
        </w:rPr>
        <w:t>详见附件：5响应方案说明.docx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