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版本号：0617-2521HZ221420250910001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科研级稳（瞬）态荧光光谱仪采购项目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0617-2521HZ2214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科研级稳（瞬）态荧光光谱仪采购项目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0617-2521HZ2214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科研级稳（瞬）态荧光光谱仪采购项目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科研级稳（瞬）态荧光光谱仪，1套。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22.5%向中标（成交）供应商收取代理服务费；2.论证费：人民币贰仟壹佰贰拾伍元整（¥2125.00元）；3.缴费时间：确定中标（成交）供应商后3日内，由中标（成交）供应商向采购代理机构一次付清代理服务费及论证费； 3.银行信息: 户名：西北（陕西）国际招标有限公司；开户银行：交通银行西安长安大学支行；账号：611301151018010003843。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科研级稳（瞬）态荧光光谱仪，1套。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科研级稳（瞬）态荧光光谱仪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标的名称：科研级稳（瞬）态荧光光谱仪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 配置要求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 主机部分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稳瞬态荧光光谱仪主机整机1套，其内部结构至少包括：稳态氙灯1只、高频闪烁氙灯1只、激发单色仪1个、发射单色仪 1个、配有专用大样品仓 1个、荧光寿命测试数据采集模块1套、磷光寿命测试数据采集模块1套、延迟荧光测试模块1套、比例荧光测试模块1套、PMT检测器（185-980nm）1套、近红外检测器（800-1700nm）1套.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 功能性附件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功能性附件至少包含：固体样品支架1套、量子效率测试附件（积分球）1套、量子效率薄膜与粉末测试支架1个、量子效率液体测试附件1个、370nm高能量脉冲光源1个、405nm高能量脉冲光源1个、355nm磷光寿命脉冲光源1个、前表面测量附件1个、光谱分析测试计算平台1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3 数据采集与处理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数据采集及处理部分至少包含：光谱采集及分析软件1套、寿命拟合分析软件包1套、胶束猝灭寿命分析软件包1套、工作站1套.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4 配件及耗材</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稳态氙灯5只；标准滤光片套组16片（波长分别是295，305，320，380，400，420，435，455，630，665，695，715，830和1000nm）、原装进口衰减片1套、标准比色皿2个、石英比色皿（防挥发）2个.</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5 辅助设备</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上转换激光器2个（中心波长分别为808nm和980nm），智能UPS电源1台，隔震气浮光学平台1个，空气净化加湿一体机1台，空调（3P）1台，液氮罐（30L）1个.</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二、技术参数</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1主机</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1.1全反射光学系统：含灯室和样品仓，无透镜所致色差.</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1.2输出经系统自动校正后的激发光谱、发射光谱、三维光谱、同步扫描光谱、光度计定量；</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1.3挡板式样品仓，光学元器件与样品、外界环境隔离.</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1.4信噪比：≥30000:1（RMS法，室温R928P，5nm带宽，1s响应时间，水拉曼信号，无滤光片辅助，检测器无制冷），要求对单次采集水拉曼光谱数据验收达标【提供佐证材料，至少包括但不限于官方截图】.</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1.5荧光寿命，磷光寿命、荧光磷光时间分辨发射谱.</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1.6全波长范围具有延迟光谱功能，1μs起.</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1.7仪器软件支持采集数字和模拟信号，便于后期升级、扩展功能.</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1.8全光学系统配置气氛通入孔，实现深紫外至中红外光谱及样品气氛保护测试【提供佐证材料，至少包括但不限于官方截图】.</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2光源</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2.1稳态光源：≤300w 无臭氧氙灯【提供佐证材料，至少包括但不限于官方截图】.</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2.2闪烁光源：闪烁氙灯，脉冲频率≥300Hz.</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3激发/发射单色仪</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3.1采用C-T式非对称设计，抑制杂散光.</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3.2单级单色仪焦长≥340mm.</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3.3 光谱带宽≥0-15nm，步进≤0.05nm.</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3.4 波长准确度：≤±0.1nm【提供佐证材料，至少包括但不限于官方截图】.</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3.5 波长重复性：≤±0.1nm.</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4 紫外-可见检测器</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4.1 检测器波长范围：185-850nm.</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4.2 制冷方式：TE制冷，具有光子计数模式.</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4.3 稳态动力学扫描检测器采集速度：≤1μs/point.</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5 近红外检测器</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5.1 工作环境：液氮冷却，制冷温度：-196℃.</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5.2 检测器波长范围：800-1700nm.</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5.3 开机稳定时间：≤5分钟.</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6 荧光寿命部分</w:t>
            </w:r>
          </w:p>
        </w:tc>
      </w:tr>
      <w:tr>
        <w:tc>
          <w:tcPr>
            <w:tcW w:type="dxa" w:w="2769"/>
          </w:tcPr>
          <w:p>
            <w:pPr>
              <w:pStyle w:val="null3"/>
            </w:pPr>
            <w:r>
              <w:rPr>
                <w:rFonts w:ascii="仿宋_GB2312" w:hAnsi="仿宋_GB2312" w:cs="仿宋_GB2312" w:eastAsia="仿宋_GB2312"/>
              </w:rPr>
              <w:t>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6.1 荧光寿命测试：200ps-s【提供佐证材料，至少包括但不限于官方截图】.</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6.2 计时单元死时间≤10ns.</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6.3 皮秒级脉冲激光光源.</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6.3.1 脉冲LED寿命光源，波长范围：265-1310nm.</w:t>
            </w:r>
          </w:p>
        </w:tc>
      </w:tr>
      <w:tr>
        <w:tc>
          <w:tcPr>
            <w:tcW w:type="dxa" w:w="2769"/>
          </w:tcPr>
          <w:p>
            <w:pPr>
              <w:pStyle w:val="null3"/>
            </w:pPr>
            <w:r>
              <w:rPr>
                <w:rFonts w:ascii="仿宋_GB2312" w:hAnsi="仿宋_GB2312" w:cs="仿宋_GB2312" w:eastAsia="仿宋_GB2312"/>
              </w:rPr>
              <w:t>44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6.3.2 高能量皮秒级脉冲激光光源，中心波长至少包括370nm，405nm【提供佐证材料，至少包括但不限于官方截图】.</w:t>
            </w:r>
          </w:p>
        </w:tc>
      </w:tr>
      <w:tr>
        <w:tc>
          <w:tcPr>
            <w:tcW w:type="dxa" w:w="2769"/>
          </w:tcPr>
          <w:p>
            <w:pPr>
              <w:pStyle w:val="null3"/>
            </w:pPr>
            <w:r>
              <w:rPr>
                <w:rFonts w:ascii="仿宋_GB2312" w:hAnsi="仿宋_GB2312" w:cs="仿宋_GB2312" w:eastAsia="仿宋_GB2312"/>
              </w:rPr>
              <w:t>45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6.3.3 光源能量≥15pj/pulse（405nm）【提供佐证材料，至少包括但不限于官方截图】.</w:t>
            </w:r>
          </w:p>
        </w:tc>
      </w:tr>
      <w:tr>
        <w:tc>
          <w:tcPr>
            <w:tcW w:type="dxa" w:w="2769"/>
          </w:tcPr>
          <w:p>
            <w:pPr>
              <w:pStyle w:val="null3"/>
            </w:pPr>
            <w:r>
              <w:rPr>
                <w:rFonts w:ascii="仿宋_GB2312" w:hAnsi="仿宋_GB2312" w:cs="仿宋_GB2312" w:eastAsia="仿宋_GB2312"/>
              </w:rPr>
              <w:t>46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6.3.4 脉冲光源最大重复频率≥100MHz【提供佐证材料，至少包括但不限于官方截图】.</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6.3.5 根据测试时间窗口，软件自动控制脉冲频率（无需手动调节）.</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6.4磷光寿命光源部分.</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6.4.1 闪烁光源：单波长快频闪光源.</w:t>
            </w:r>
          </w:p>
        </w:tc>
      </w:tr>
      <w:tr>
        <w:tc>
          <w:tcPr>
            <w:tcW w:type="dxa" w:w="2769"/>
          </w:tcPr>
          <w:p>
            <w:pPr>
              <w:pStyle w:val="null3"/>
            </w:pPr>
            <w:r>
              <w:rPr>
                <w:rFonts w:ascii="仿宋_GB2312" w:hAnsi="仿宋_GB2312" w:cs="仿宋_GB2312" w:eastAsia="仿宋_GB2312"/>
              </w:rPr>
              <w:t>50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6.4.2 测试寿命范围：&lt;1µs-1s（最大采集时间窗口≥10s）【提供佐证材料，至少包括但不限于官方截图】.</w:t>
            </w:r>
          </w:p>
        </w:tc>
      </w:tr>
      <w:tr>
        <w:tc>
          <w:tcPr>
            <w:tcW w:type="dxa" w:w="2769"/>
          </w:tcPr>
          <w:p>
            <w:pPr>
              <w:pStyle w:val="null3"/>
            </w:pPr>
            <w:r>
              <w:rPr>
                <w:rFonts w:ascii="仿宋_GB2312" w:hAnsi="仿宋_GB2312" w:cs="仿宋_GB2312" w:eastAsia="仿宋_GB2312"/>
              </w:rPr>
              <w:t>51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6.4.3 即插即用脉冲光源波长：355nm【提供佐证材料，至少包括但不限于官方截图】.</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6.4.4 闪烁频率≥0.1Hz-2.6KHz.</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6.5 长寿命测试同时提供多路复用（MCS）和单脉冲实时采集（SSTD）模式，荧光寿命可免费进行1-4指数拟合.</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6.6 软件可进行能量共振转移寿命分析（FRET）、胶束猝灭寿命分析、Global指数分析.</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7 附件配置</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7.1 固体样品支架：360可旋转，带角度刻度盘.</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7.2 带千分尺位移调节.</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7.3 滤光片组附件：发射端、激发端各有滤光片支架，不少于16片1英寸滤光片.</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7.4 绝对量子产率附件：积分球.</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7.4.1 包含CIE1931和1976色度分析软件.</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7.4.2 安装使用时，无需调节聚焦光学部件.</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7.4.3 球内无反射镜，避免能量损耗.</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7.4.4 标配原装进口衰减片，不少于6片.</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7.4.5 上转换量子产率，无需光纤耦合激光器</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8软件功能</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8.1 比例荧光动态扫描功能：满足至少八对激发/发射-强度动态扫描.</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8.2 数据记录应包括光谱、数据表及实验条件等核心内容.</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8.3 可批量执行测试方法文件.</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8.4 标配钙离子浓度计算公式，自动绘制未知样品浓度.</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8.5 配置常用荧光染料数据库或自定义染料波长测量.</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8.6 狭缝（带宽）和波长等参数在发射光谱、激发光谱等功能窗口中，可同窗口完成设定.</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8.7 高级运算程序：单壁碳纳米管计算、色坐标计算、吸收计算、量子产率计算等；提供计算所有FRET相关参数的专用模块.</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9 辅助设备</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9.1智能UPS电源：3000VA，支持移动端操作，设备电源远程通断；断电后提供不少于15 分钟的持续供电，且输出功率满足设备全负荷运转需求，运行中电压波动范围控制在±5% 以内.</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9.2 空调：不小于3P（主流品牌，含安装及辅材）.</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9.3光学防震平台：面积不小于1.5m*1.8m.</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9.4工作站：≥Intel  i7中央处理器，≥16G内存，≥256G固态硬盘，≥2T机械硬盘，16X刻录机，≥4G独立显卡，≥27英寸LED显示器，Windows10  64位操作系统.</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9.5 空气净化加湿一体机（主流品牌）：气态CADR不小于1000m</w:t>
            </w:r>
            <w:r>
              <w:rPr>
                <w:rFonts w:ascii="仿宋_GB2312" w:hAnsi="仿宋_GB2312" w:cs="仿宋_GB2312" w:eastAsia="仿宋_GB2312"/>
                <w:vertAlign w:val="superscript"/>
              </w:rPr>
              <w:t>2</w:t>
            </w:r>
            <w:r>
              <w:rPr>
                <w:rFonts w:ascii="仿宋_GB2312" w:hAnsi="仿宋_GB2312" w:cs="仿宋_GB2312" w:eastAsia="仿宋_GB2312"/>
              </w:rPr>
              <w:t>/h，固态污染物CADR不小于800m</w:t>
            </w:r>
            <w:r>
              <w:rPr>
                <w:rFonts w:ascii="仿宋_GB2312" w:hAnsi="仿宋_GB2312" w:cs="仿宋_GB2312" w:eastAsia="仿宋_GB2312"/>
                <w:vertAlign w:val="superscript"/>
              </w:rPr>
              <w:t>2</w:t>
            </w:r>
            <w:r>
              <w:rPr>
                <w:rFonts w:ascii="仿宋_GB2312" w:hAnsi="仿宋_GB2312" w:cs="仿宋_GB2312" w:eastAsia="仿宋_GB2312"/>
              </w:rPr>
              <w:t>/h，适用面积不小于60平方米，PM2.5传感器（数显），TVOC传感器（数显）.</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jc w:val="both"/>
            </w:pPr>
            <w:r>
              <w:rPr>
                <w:rFonts w:ascii="仿宋_GB2312" w:hAnsi="仿宋_GB2312" w:cs="仿宋_GB2312" w:eastAsia="仿宋_GB2312"/>
                <w:sz w:val="21"/>
              </w:rPr>
              <w:t xml:space="preserve">10 </w:t>
            </w:r>
            <w:r>
              <w:rPr>
                <w:rFonts w:ascii="仿宋_GB2312" w:hAnsi="仿宋_GB2312" w:cs="仿宋_GB2312" w:eastAsia="仿宋_GB2312"/>
                <w:sz w:val="21"/>
              </w:rPr>
              <w:t>光谱计算测试平台参数</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jc w:val="both"/>
            </w:pPr>
            <w:r>
              <w:rPr>
                <w:rFonts w:ascii="仿宋_GB2312" w:hAnsi="仿宋_GB2312" w:cs="仿宋_GB2312" w:eastAsia="仿宋_GB2312"/>
                <w:sz w:val="21"/>
              </w:rPr>
              <w:t>10.1 可用于光谱范围7800-350CM</w:t>
            </w:r>
            <w:r>
              <w:rPr>
                <w:rFonts w:ascii="仿宋_GB2312" w:hAnsi="仿宋_GB2312" w:cs="仿宋_GB2312" w:eastAsia="仿宋_GB2312"/>
                <w:sz w:val="21"/>
                <w:vertAlign w:val="superscript"/>
              </w:rPr>
              <w:t>-1</w:t>
            </w:r>
            <w:r>
              <w:rPr>
                <w:rFonts w:ascii="仿宋_GB2312" w:hAnsi="仿宋_GB2312" w:cs="仿宋_GB2312" w:eastAsia="仿宋_GB2312"/>
                <w:sz w:val="21"/>
              </w:rPr>
              <w:t>，最高分辨率优于</w:t>
            </w:r>
            <w:r>
              <w:rPr>
                <w:rFonts w:ascii="仿宋_GB2312" w:hAnsi="仿宋_GB2312" w:cs="仿宋_GB2312" w:eastAsia="仿宋_GB2312"/>
                <w:sz w:val="21"/>
              </w:rPr>
              <w:t>1CM</w:t>
            </w:r>
            <w:r>
              <w:rPr>
                <w:rFonts w:ascii="仿宋_GB2312" w:hAnsi="仿宋_GB2312" w:cs="仿宋_GB2312" w:eastAsia="仿宋_GB2312"/>
                <w:sz w:val="21"/>
                <w:vertAlign w:val="superscript"/>
              </w:rPr>
              <w:t>-1</w:t>
            </w:r>
            <w:r>
              <w:rPr>
                <w:rFonts w:ascii="仿宋_GB2312" w:hAnsi="仿宋_GB2312" w:cs="仿宋_GB2312" w:eastAsia="仿宋_GB2312"/>
                <w:sz w:val="21"/>
              </w:rPr>
              <w:t>，线性度</w:t>
            </w:r>
            <w:r>
              <w:rPr>
                <w:rFonts w:ascii="仿宋_GB2312" w:hAnsi="仿宋_GB2312" w:cs="仿宋_GB2312" w:eastAsia="仿宋_GB2312"/>
                <w:sz w:val="21"/>
              </w:rPr>
              <w:t>0.1%的数据分析测试计算；</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jc w:val="both"/>
            </w:pPr>
            <w:r>
              <w:rPr>
                <w:rFonts w:ascii="仿宋_GB2312" w:hAnsi="仿宋_GB2312" w:cs="仿宋_GB2312" w:eastAsia="仿宋_GB2312"/>
                <w:sz w:val="21"/>
              </w:rPr>
              <w:t>10.2 光谱分析测试计算平台,计算核心数≥256个，线程数≥512条；浮点计算能力≥18432T FLOPs/572,396 MOps/Sec，单核最高加速频率≥3.1GHz；</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jc w:val="both"/>
            </w:pPr>
            <w:r>
              <w:rPr>
                <w:rFonts w:ascii="仿宋_GB2312" w:hAnsi="仿宋_GB2312" w:cs="仿宋_GB2312" w:eastAsia="仿宋_GB2312"/>
                <w:sz w:val="21"/>
              </w:rPr>
              <w:t>10.3 随机存取存储器不小于256GiB，用于快速处理光谱数据；</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jc w:val="both"/>
            </w:pPr>
            <w:r>
              <w:rPr>
                <w:rFonts w:ascii="仿宋_GB2312" w:hAnsi="仿宋_GB2312" w:cs="仿宋_GB2312" w:eastAsia="仿宋_GB2312"/>
                <w:sz w:val="21"/>
              </w:rPr>
              <w:t>10.4 光谱分析数据库存储空间不小于500GiB SSD和不小于16TB企业级硬盘；</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jc w:val="both"/>
            </w:pPr>
            <w:r>
              <w:rPr>
                <w:rFonts w:ascii="仿宋_GB2312" w:hAnsi="仿宋_GB2312" w:cs="仿宋_GB2312" w:eastAsia="仿宋_GB2312"/>
                <w:sz w:val="21"/>
              </w:rPr>
              <w:t>10.5 光谱分析测试计算平台节点基板管理控制器满足以下要求：支持中英文切换，支持单节点功耗实时显示以图表形式显示并且支持下载耗电量记录，支持单节点系统健康状态监控并显示风扇转速、系统温度等，支持系统清单显示包含中央处理器清单、DIMM清单、PCI清单、HDD清单、NIC清单、GPU清单、FRU清单、PSU清单等，其中DIMM清单能显示位置、制造商、制造商编号、编号、类型、容量、速度等重要信息（提供上述操作界面截图）。</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jc w:val="both"/>
            </w:pPr>
            <w:r>
              <w:rPr>
                <w:rFonts w:ascii="仿宋_GB2312" w:hAnsi="仿宋_GB2312" w:cs="仿宋_GB2312" w:eastAsia="仿宋_GB2312"/>
                <w:sz w:val="21"/>
              </w:rPr>
              <w:t>10.6 光谱分析测试计算平台支持硬件故障检测,电源、电压、风扇及温度监控,远程开关机,报错日志管理,支持CPU、内存、硬盘、电源、风扇故障前预告警功能；</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jc w:val="both"/>
            </w:pPr>
            <w:r>
              <w:rPr>
                <w:rFonts w:ascii="仿宋_GB2312" w:hAnsi="仿宋_GB2312" w:cs="仿宋_GB2312" w:eastAsia="仿宋_GB2312"/>
                <w:sz w:val="21"/>
              </w:rPr>
              <w:t>10.7 光谱分析测试计算平台支持远程在线运维,远程升级,支持作业调度系统集成,根据作业号单独显示作业所在的节点,并保存这些节点的资源使用状态,供后续离线分析；</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jc w:val="both"/>
            </w:pPr>
            <w:r>
              <w:rPr>
                <w:rFonts w:ascii="仿宋_GB2312" w:hAnsi="仿宋_GB2312" w:cs="仿宋_GB2312" w:eastAsia="仿宋_GB2312"/>
                <w:sz w:val="21"/>
              </w:rPr>
              <w:t>10.8 光谱分析测试计算平台支持任务的提交、排队、监控、删除和给予策略的处理等，提供灵活作业提交方式;支持给予命令行、Web界面和作业脚本的提交,支持批量提交和对应资源选择,基于管理集群方便的Web界面,并提供功能完善的管理主控页面和报表,支持监控、报警和用户使用标记功能等，支持跨网段和跨平台的集中管理，支持硬件健康监测、备份还原功能，完成多任务多用户管理，提供局域网搭建，安装集群管理软件需要提供有效license及作业调度系统PBS/Slurm管理模块，并并入原有集群。</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jc w:val="both"/>
            </w:pPr>
            <w:r>
              <w:rPr>
                <w:rFonts w:ascii="仿宋_GB2312" w:hAnsi="仿宋_GB2312" w:cs="仿宋_GB2312" w:eastAsia="仿宋_GB2312"/>
                <w:sz w:val="21"/>
              </w:rPr>
              <w:t>10.9 针对该平台需提供上门安装调试服务，1年的免费质保，实施期间不再产生任何费用，所需耗材和软硬件由供应商提供。</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jc w:val="both"/>
            </w:pPr>
            <w:r>
              <w:rPr>
                <w:rFonts w:ascii="仿宋_GB2312" w:hAnsi="仿宋_GB2312" w:cs="仿宋_GB2312" w:eastAsia="仿宋_GB2312"/>
                <w:sz w:val="21"/>
              </w:rPr>
              <w:t xml:space="preserve">10.10 </w:t>
            </w:r>
            <w:r>
              <w:rPr>
                <w:rFonts w:ascii="仿宋_GB2312" w:hAnsi="仿宋_GB2312" w:cs="仿宋_GB2312" w:eastAsia="仿宋_GB2312"/>
                <w:sz w:val="21"/>
              </w:rPr>
              <w:t>应充分了解安装环境及现有设备情况，并提供详尽的并入方案，提供纸质版并盖章。</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jc w:val="both"/>
            </w:pPr>
            <w:r>
              <w:rPr>
                <w:rFonts w:ascii="仿宋_GB2312" w:hAnsi="仿宋_GB2312" w:cs="仿宋_GB2312" w:eastAsia="仿宋_GB2312"/>
                <w:sz w:val="21"/>
              </w:rPr>
              <w:t>三、商务要求</w:t>
            </w:r>
          </w:p>
        </w:tc>
      </w:tr>
      <w:tr>
        <w:tc>
          <w:tcPr>
            <w:tcW w:type="dxa" w:w="2769"/>
          </w:tcPr>
          <w:p>
            <w:pPr>
              <w:pStyle w:val="null3"/>
            </w:pPr>
            <w:r>
              <w:rPr>
                <w:rFonts w:ascii="仿宋_GB2312" w:hAnsi="仿宋_GB2312" w:cs="仿宋_GB2312" w:eastAsia="仿宋_GB2312"/>
              </w:rPr>
              <w:t>91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1、交货时间：合同签订后6个月</w:t>
            </w:r>
          </w:p>
        </w:tc>
      </w:tr>
      <w:tr>
        <w:tc>
          <w:tcPr>
            <w:tcW w:type="dxa" w:w="2769"/>
          </w:tcPr>
          <w:p>
            <w:pPr>
              <w:pStyle w:val="null3"/>
            </w:pPr>
            <w:r>
              <w:rPr>
                <w:rFonts w:ascii="仿宋_GB2312" w:hAnsi="仿宋_GB2312" w:cs="仿宋_GB2312" w:eastAsia="仿宋_GB2312"/>
              </w:rPr>
              <w:t>92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2、交货地点：西安科技大学骊山校园指定地点</w:t>
            </w:r>
          </w:p>
        </w:tc>
      </w:tr>
      <w:tr>
        <w:tc>
          <w:tcPr>
            <w:tcW w:type="dxa" w:w="2769"/>
          </w:tcPr>
          <w:p>
            <w:pPr>
              <w:pStyle w:val="null3"/>
            </w:pPr>
            <w:r>
              <w:rPr>
                <w:rFonts w:ascii="仿宋_GB2312" w:hAnsi="仿宋_GB2312" w:cs="仿宋_GB2312" w:eastAsia="仿宋_GB2312"/>
              </w:rPr>
              <w:t>93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3、质保期：终验合格后1年</w:t>
            </w:r>
          </w:p>
        </w:tc>
      </w:tr>
      <w:tr>
        <w:tc>
          <w:tcPr>
            <w:tcW w:type="dxa" w:w="2769"/>
          </w:tcPr>
          <w:p>
            <w:pPr>
              <w:pStyle w:val="null3"/>
            </w:pPr>
            <w:r>
              <w:rPr>
                <w:rFonts w:ascii="仿宋_GB2312" w:hAnsi="仿宋_GB2312" w:cs="仿宋_GB2312" w:eastAsia="仿宋_GB2312"/>
              </w:rPr>
              <w:t>94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4、售后服务要求：（1）售后服务响应时间（质保期内）：即时响应（包括电话响应）；电话响应无法解决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2）制造商提供专业售后服务，专业培训;西安本地常驻售后工程师。</w:t>
            </w:r>
          </w:p>
        </w:tc>
      </w:tr>
      <w:tr>
        <w:tc>
          <w:tcPr>
            <w:tcW w:type="dxa" w:w="2769"/>
          </w:tcPr>
          <w:p>
            <w:pPr>
              <w:pStyle w:val="null3"/>
            </w:pPr>
            <w:r>
              <w:rPr>
                <w:rFonts w:ascii="仿宋_GB2312" w:hAnsi="仿宋_GB2312" w:cs="仿宋_GB2312" w:eastAsia="仿宋_GB2312"/>
              </w:rPr>
              <w:t>95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5、款项结算：</w:t>
            </w:r>
          </w:p>
          <w:p>
            <w:pPr>
              <w:pStyle w:val="null3"/>
            </w:pPr>
            <w:r>
              <w:rPr>
                <w:rFonts w:ascii="仿宋_GB2312" w:hAnsi="仿宋_GB2312" w:cs="仿宋_GB2312" w:eastAsia="仿宋_GB2312"/>
                <w:sz w:val="21"/>
              </w:rPr>
              <w:t>（</w:t>
            </w:r>
            <w:r>
              <w:rPr>
                <w:rFonts w:ascii="仿宋_GB2312" w:hAnsi="仿宋_GB2312" w:cs="仿宋_GB2312" w:eastAsia="仿宋_GB2312"/>
                <w:sz w:val="21"/>
              </w:rPr>
              <w:t>1）结算单位：采购人结算，在付款前必须开具全额增值税发票给采购人。</w:t>
            </w:r>
          </w:p>
          <w:p>
            <w:pPr>
              <w:pStyle w:val="null3"/>
            </w:pPr>
            <w:r>
              <w:rPr>
                <w:rFonts w:ascii="仿宋_GB2312" w:hAnsi="仿宋_GB2312" w:cs="仿宋_GB2312" w:eastAsia="仿宋_GB2312"/>
                <w:sz w:val="21"/>
              </w:rPr>
              <w:t>（</w:t>
            </w:r>
            <w:r>
              <w:rPr>
                <w:rFonts w:ascii="仿宋_GB2312" w:hAnsi="仿宋_GB2312" w:cs="仿宋_GB2312" w:eastAsia="仿宋_GB2312"/>
                <w:sz w:val="21"/>
              </w:rPr>
              <w:t>2）进口产品付款方式：</w:t>
            </w:r>
          </w:p>
          <w:p>
            <w:pPr>
              <w:pStyle w:val="null3"/>
            </w:pPr>
            <w:r>
              <w:rPr>
                <w:rFonts w:ascii="仿宋_GB2312" w:hAnsi="仿宋_GB2312" w:cs="仿宋_GB2312" w:eastAsia="仿宋_GB2312"/>
                <w:sz w:val="21"/>
              </w:rPr>
              <w:t>进口产品付款条件：签订合同前向学校缴纳</w:t>
            </w:r>
            <w:r>
              <w:rPr>
                <w:rFonts w:ascii="仿宋_GB2312" w:hAnsi="仿宋_GB2312" w:cs="仿宋_GB2312" w:eastAsia="仿宋_GB2312"/>
                <w:sz w:val="21"/>
              </w:rPr>
              <w:t>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w:t>
            </w:r>
          </w:p>
          <w:p>
            <w:pPr>
              <w:pStyle w:val="null3"/>
            </w:pPr>
            <w:r>
              <w:rPr>
                <w:rFonts w:ascii="仿宋_GB2312" w:hAnsi="仿宋_GB2312" w:cs="仿宋_GB2312" w:eastAsia="仿宋_GB2312"/>
                <w:sz w:val="21"/>
              </w:rPr>
              <w:t>（</w:t>
            </w:r>
            <w:r>
              <w:rPr>
                <w:rFonts w:ascii="仿宋_GB2312" w:hAnsi="仿宋_GB2312" w:cs="仿宋_GB2312" w:eastAsia="仿宋_GB2312"/>
                <w:sz w:val="21"/>
              </w:rPr>
              <w:t>3）国产产品付款方式：</w:t>
            </w:r>
          </w:p>
          <w:p>
            <w:pPr>
              <w:pStyle w:val="null3"/>
            </w:pPr>
            <w:r>
              <w:rPr>
                <w:rFonts w:ascii="仿宋_GB2312" w:hAnsi="仿宋_GB2312" w:cs="仿宋_GB2312" w:eastAsia="仿宋_GB2312"/>
                <w:sz w:val="21"/>
              </w:rPr>
              <w:t>非中小企业中标付款方式：签订合同前向学校缴纳</w:t>
            </w:r>
            <w:r>
              <w:rPr>
                <w:rFonts w:ascii="仿宋_GB2312" w:hAnsi="仿宋_GB2312" w:cs="仿宋_GB2312" w:eastAsia="仿宋_GB2312"/>
                <w:sz w:val="21"/>
              </w:rPr>
              <w:t>5%的履约保证金，国内产品安装调试经学校验收合格后一次性支付全款，同时缴纳的5%履约保证金无质量问题一次性无息退还。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pPr>
              <w:pStyle w:val="null3"/>
              <w:jc w:val="both"/>
            </w:pPr>
            <w:r>
              <w:rPr>
                <w:rFonts w:ascii="仿宋_GB2312" w:hAnsi="仿宋_GB2312" w:cs="仿宋_GB2312" w:eastAsia="仿宋_GB2312"/>
                <w:sz w:val="21"/>
              </w:rPr>
              <w:t>注：逾期退还履约保证金，产生的资金占用费双方协商。</w:t>
            </w:r>
          </w:p>
        </w:tc>
      </w:tr>
      <w:tr>
        <w:tc>
          <w:tcPr>
            <w:tcW w:type="dxa" w:w="2769"/>
          </w:tcPr>
          <w:p>
            <w:pPr>
              <w:pStyle w:val="null3"/>
            </w:pPr>
            <w:r>
              <w:rPr>
                <w:rFonts w:ascii="仿宋_GB2312" w:hAnsi="仿宋_GB2312" w:cs="仿宋_GB2312" w:eastAsia="仿宋_GB2312"/>
              </w:rPr>
              <w:t>96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6、 提供投标产品合法来源渠道证明，包括但不限于销售协议、代理协议、原厂授权或 承诺书等。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签订合同前向学校缴纳5%的履约保证金，国内产品安装调试经学校验收合格后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一、补充说明：1、付款方式：因系统设置原因，本章3.4.4支付约定描述不全之处，以本章3.3技术要求中二、商务要求，4.款项结算为准。 2、残疾人福利性单位及监狱企业视同为小型、微型企业。 二、项目说明：1、本项目允许采购进口产品。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三、投标有效期：本项目投标有效期为从开标之日起120日历天。中标供应商的投标文件有效期自动延长合同履行完毕。 四、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2、本项目已通过进口产品论证，投标文件中接受外文资料，但主要部分仍应尽量对应翻译成中文并附在相关外文资料后面。3、本项目不强制要求招标文件第二章投标人须知第2.4.4知识产权第二条要求。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 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定代表人授权委托书或法定代表人证明书。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投标文件完整性审查</w:t>
            </w:r>
          </w:p>
        </w:tc>
        <w:tc>
          <w:tcPr>
            <w:tcW w:type="dxa" w:w="3322"/>
          </w:tcPr>
          <w:p>
            <w:pPr>
              <w:pStyle w:val="null3"/>
            </w:pPr>
            <w:r>
              <w:rPr>
                <w:rFonts w:ascii="仿宋_GB2312" w:hAnsi="仿宋_GB2312" w:cs="仿宋_GB2312" w:eastAsia="仿宋_GB2312"/>
              </w:rPr>
              <w:t>投标文件是否按照招标文件要求的格式编写；投标文件内容是否有重大缺漏项。</w:t>
            </w:r>
          </w:p>
        </w:tc>
        <w:tc>
          <w:tcPr>
            <w:tcW w:type="dxa" w:w="1661"/>
          </w:tcPr>
          <w:p>
            <w:pPr>
              <w:pStyle w:val="null3"/>
            </w:pPr>
            <w:r>
              <w:rPr>
                <w:rFonts w:ascii="仿宋_GB2312" w:hAnsi="仿宋_GB2312" w:cs="仿宋_GB2312" w:eastAsia="仿宋_GB2312"/>
              </w:rPr>
              <w:t>产品技术参数表 投标方案说明书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产品技术参数表 投标方案说明书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① 投标报价是否超过采购预算；②投标报价有效期是否符合招标文件的要求；③ 投标文件内容是否符合国家法律法规，没有重大偏离；④对招标文件中规定的要求是否做出了实质性响应。</w:t>
            </w:r>
          </w:p>
        </w:tc>
        <w:tc>
          <w:tcPr>
            <w:tcW w:type="dxa" w:w="1661"/>
          </w:tcPr>
          <w:p>
            <w:pPr>
              <w:pStyle w:val="null3"/>
            </w:pPr>
            <w:r>
              <w:rPr>
                <w:rFonts w:ascii="仿宋_GB2312" w:hAnsi="仿宋_GB2312" w:cs="仿宋_GB2312" w:eastAsia="仿宋_GB2312"/>
              </w:rPr>
              <w:t>产品技术参数表 投标方案说明书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投标产品技术参数清楚、明确，有相应齐全的技术资料，完全满足招标技术参数要求得39分；标注“▲”负偏离一条扣3分；其余未标注符号的负偏离一条扣1分；扣完为止。 评审依据：提供生产厂家确认的具有相应的功能证明材料（投标产品彩页（如有）、（产品）说明书、认证证书、检测/检验报告等，官网截图等），技术偏离表中的投标响应，在技术资料中未出现，视为负偏离。</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提供服务、实施方案，项目团队人员配备（提供专职人员名单及联系方式、有效身份证复印件），技术能力出众（提供相关资格证书）。 评审标准 1.完整性：方案须全面，对评审内容中的各项要求有详细描述； 2.可实施性：切合本项目实际情况，切实可行； 3.针对性：方案能够紧扣项目实际情况，科学合理。 赋分标准（满分6分）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提供售后服务方案，方案内容至少包括①服务内容及售后服务承诺②售后服务体系及人员配置③响应时间、④退换货。 评审标准： 1.完整性：方案须全面，对评审内容中的各项要求有详细描述； 2.可实施性：切合本项目实际情况，实施步骤清晰、合理； 3.针对性：方案能够紧扣项目实际情况，内容科学合理。 赋分标准（满分12分） 每项内容：每完全满足一个评审标准得1分，满分3分；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投标产品来源渠道</w:t>
            </w:r>
          </w:p>
        </w:tc>
        <w:tc>
          <w:tcPr>
            <w:tcW w:type="dxa" w:w="2492"/>
          </w:tcPr>
          <w:p>
            <w:pPr>
              <w:pStyle w:val="null3"/>
            </w:pPr>
            <w:r>
              <w:rPr>
                <w:rFonts w:ascii="仿宋_GB2312" w:hAnsi="仿宋_GB2312" w:cs="仿宋_GB2312" w:eastAsia="仿宋_GB2312"/>
              </w:rPr>
              <w:t>投标人提供给投标产品来源渠道证明：包括但不限于销售协议、代理协议、原厂授权或承诺书等，提供得2分，未提供的不得分。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同类产品业绩</w:t>
            </w:r>
          </w:p>
        </w:tc>
        <w:tc>
          <w:tcPr>
            <w:tcW w:type="dxa" w:w="2492"/>
          </w:tcPr>
          <w:p>
            <w:pPr>
              <w:pStyle w:val="null3"/>
            </w:pPr>
            <w:r>
              <w:rPr>
                <w:rFonts w:ascii="仿宋_GB2312" w:hAnsi="仿宋_GB2312" w:cs="仿宋_GB2312" w:eastAsia="仿宋_GB2312"/>
              </w:rPr>
              <w:t>提供2020年1月1日至今（以合同签订日期为准），同类产品业绩合同，一份有效业绩合同计2分，最高6分。 评审依据：完整合同复印件加盖公章。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同类产品业绩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投标人的价格分统一按照下列公式计算：投标报价得分=（评标基准价/投标报价）×35。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详见附件：同类产品业绩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