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50BE6">
      <w:pPr>
        <w:adjustRightInd w:val="0"/>
        <w:snapToGrid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20B9986F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jc w:val="center"/>
        <w:textAlignment w:val="auto"/>
        <w:outlineLvl w:val="1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监督检查处陕西省2025年巩固拓展脱贫攻坚成果同乡村振兴有效衔接第三方评估项目</w:t>
      </w:r>
    </w:p>
    <w:p w14:paraId="0C7614A0"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jc w:val="center"/>
        <w:textAlignment w:val="auto"/>
        <w:outlineLvl w:val="1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委托合同</w:t>
      </w:r>
    </w:p>
    <w:p w14:paraId="0506E90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甲方（项目管理单位）： </w:t>
      </w:r>
    </w:p>
    <w:p w14:paraId="65AAA24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乙方（项目实施单位）：       </w:t>
      </w:r>
    </w:p>
    <w:p w14:paraId="3F506A6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为切实做好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监督检查处陕西省2025年巩固拓展脱贫攻坚成果同乡村振兴有效衔接第三方评估项目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工作，根据陕西省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农业农村厅安排部署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，经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u w:val="single"/>
          <w:lang w:val="en-US" w:eastAsia="zh-CN"/>
        </w:rPr>
        <w:t xml:space="preserve"> （采购方式）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采购程序确定委托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u w:val="single"/>
          <w:lang w:val="en-US" w:eastAsia="zh-CN"/>
        </w:rPr>
        <w:t xml:space="preserve">  （乙方名称）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项目承接单位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负责项目具体工作实施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。</w:t>
      </w:r>
    </w:p>
    <w:p w14:paraId="67343AB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为保证项目顺利实施，经甲、乙双方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商定，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达成如下合同条款：</w:t>
      </w:r>
    </w:p>
    <w:p w14:paraId="2DFF88D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工作任务</w:t>
      </w:r>
    </w:p>
    <w:p w14:paraId="54747F3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乙方受甲方委托，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对全省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11个设区市（含杨凌示范区）的101个有乡村振兴任务的县（市、区）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，实现评估暗访全覆盖。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暗访评估工作结合年度工作安排开展，分批次进行。共计划暗访评估4040户（访谈干部人数计为样本户数），主要以巩固期内低收入农户为主。并对相关暗访调研结果的真实性和公正性负责。</w:t>
      </w:r>
    </w:p>
    <w:p w14:paraId="50E7342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具体对象将根据工作需要和实际情况确定。</w:t>
      </w:r>
      <w:bookmarkStart w:id="0" w:name="_GoBack"/>
      <w:bookmarkEnd w:id="0"/>
    </w:p>
    <w:p w14:paraId="62D8430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 w:val="0"/>
          <w:color w:val="auto"/>
          <w:sz w:val="24"/>
          <w:szCs w:val="24"/>
          <w:lang w:val="en-US" w:eastAsia="zh-CN"/>
        </w:rPr>
        <w:t>二、工作内容</w:t>
      </w:r>
    </w:p>
    <w:p w14:paraId="0201E9F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围绕学习“千万工程”经验、推进乡村全面振兴，包括以下方面：</w:t>
      </w:r>
    </w:p>
    <w:p w14:paraId="2D71514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（一）保障团家粮食安全。 包括耕地保护和粮食安全责任制落实情况、粮油等主要农作物大面积提高单产、粮食产购储加销协同保障各环节工作等</w:t>
      </w:r>
    </w:p>
    <w:p w14:paraId="28EB9FC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（二）脱贫成果巩固情况。以及是否存在大规模的返贫致贫等方面工作。</w:t>
      </w:r>
    </w:p>
    <w:p w14:paraId="5AEA73E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（三）提升乡村产业发展水平。包括重要农产品稳定保供、乡村产业发展、农业科技和装备支撑等方面工作。</w:t>
      </w:r>
    </w:p>
    <w:p w14:paraId="0E878FB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（四）提升乡村建设水平。包括农村人民环境整治提升、农村基础设施建设、农村公共服务供给、促进城乡融合发展等方面工作。</w:t>
      </w:r>
    </w:p>
    <w:p w14:paraId="22BA108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（五）提升乡村治理水平。包括农村基础组织建设、农村精神文明建设、乡村文化建设、农村移风易俗、平安乡村建设、防止“指尖上的形式主义”等方向工作。</w:t>
      </w:r>
    </w:p>
    <w:p w14:paraId="792011F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（六）低收入群众增收。包括增加农村居民人均可支配收入、缩小小城乡居民收入差距、缩小农民内部收入差距等方面工作。</w:t>
      </w:r>
    </w:p>
    <w:p w14:paraId="3CA68E7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（七）深化农村改革。包括巩固和完善农村基本经营制度、完善强农富农支持制度、深化土地制度改革、强化乡村振兴要素保障、健全推动乡村全面振兴长效机制等方面工作。</w:t>
      </w:r>
    </w:p>
    <w:p w14:paraId="58B946C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（八）其他。包括问题整改村级排查整改等况、防止返贫监测、群众身边腐败问题集中整治工作开展情况等，了解群众急难愁盼的切身问题。</w:t>
      </w:r>
    </w:p>
    <w:p w14:paraId="0C65DF4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、技术要求</w:t>
      </w:r>
    </w:p>
    <w:p w14:paraId="3F91FBD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1.乙方具体实施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县的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任务，并对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数据质量和结果的真实性、公正性负责。</w:t>
      </w:r>
    </w:p>
    <w:p w14:paraId="391E91F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2.乙方组建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暗访调研工作组，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制定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《暗访调研工作方案》，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明确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工作的总体要求、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内容、前期准备、实地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、报告撰写、保障机制等内容。</w:t>
      </w:r>
    </w:p>
    <w:p w14:paraId="1838EAA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甲方结合实际情况确定全年开展暗访调研次数，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由专家和调研人员组成暗访调研工作小组。专家应熟悉“三农”政策和工作，具有“三农”领域暗访或调查的经验和能力。调研人员应为本科及以上（含在读），具备“三农”领域暗访调研的能力。</w:t>
      </w:r>
    </w:p>
    <w:p w14:paraId="229F11D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4.乙方对照每次暗访调研工作重点，设计入户暗访调研问卷及针对基层组织、经济合作组织、基层干部的访谈提纲。</w:t>
      </w:r>
    </w:p>
    <w:p w14:paraId="123C06A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5.乙方制定暗访调研培训方案，甲方组织专家对所有参与暗访人员开展相关政策、暗访调研规程、纪律要求等业务培训，确保每个暗访调研人员熟悉政策要点，明确暗访调研标准，掌握工作要求。</w:t>
      </w:r>
    </w:p>
    <w:p w14:paraId="6FB3ADD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.乙方应严格按照《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暗访调研工作方案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》、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问卷和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纪律要求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开展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实事求是摸清重点任务推进的真实情况，特别是工作效果和群众满意度，压实责任、发现问题、推动落实。</w:t>
      </w:r>
    </w:p>
    <w:p w14:paraId="7A454C9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落实开展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工作所需硬件设备，满足录音、摄像、录入数据、储存资料等方面需要。</w:t>
      </w:r>
    </w:p>
    <w:p w14:paraId="53DE661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.乙方在实地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、数据分析、总结经验、发现问题等基础上，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每次暗访调研结束后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5日内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完成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暗访调研工作报告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。</w:t>
      </w:r>
    </w:p>
    <w:p w14:paraId="1A12CC4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四、项目时间</w:t>
      </w:r>
    </w:p>
    <w:p w14:paraId="697E5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本项目计划自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合同签订之日起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至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31日结束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。</w:t>
      </w:r>
    </w:p>
    <w:p w14:paraId="1F5F3B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2"/>
          <w:sz w:val="24"/>
          <w:szCs w:val="24"/>
          <w:lang w:val="en-US" w:eastAsia="zh-CN" w:bidi="ar-SA"/>
        </w:rPr>
        <w:t>五、合同金额与支付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结算</w:t>
      </w:r>
    </w:p>
    <w:p w14:paraId="19EA31AC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1.合同金额</w:t>
      </w:r>
    </w:p>
    <w:p w14:paraId="52E8776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val="en-US" w:eastAsia="zh-CN"/>
        </w:rPr>
        <w:t>合同总金额：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  <w:t xml:space="preserve">        （¥：）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val="en-US" w:eastAsia="zh-CN"/>
        </w:rPr>
        <w:t>。</w:t>
      </w:r>
    </w:p>
    <w:p w14:paraId="124FBE09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支付结算：</w:t>
      </w:r>
    </w:p>
    <w:p w14:paraId="77A7C7C4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合同签订后一个月内，甲方支付合同金额的60%，2026年8月前项目执行无争议，支付剩余40%合同款。</w:t>
      </w:r>
    </w:p>
    <w:p w14:paraId="6BE9B5D6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乙方根据本合同约定实施项目，与项目有关的一切费用，包括前期准备、实地暗访调研和报告撰写、软硬件使用等均包含在合同金额中，甲方不在本合同范围内追加任何费用。</w:t>
      </w:r>
    </w:p>
    <w:p w14:paraId="1F6D6A5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开户行：</w:t>
      </w:r>
    </w:p>
    <w:p w14:paraId="28780D1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账户名：</w:t>
      </w:r>
    </w:p>
    <w:p w14:paraId="31B5A8F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账  号：</w:t>
      </w:r>
    </w:p>
    <w:p w14:paraId="6C323C2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  <w:t>、甲方的权利与义务</w:t>
      </w:r>
    </w:p>
    <w:p w14:paraId="2AC7351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1.甲方应在双方签订本合同后2日内，向乙方提供项目所需相关资料、文件和信息数据。</w:t>
      </w:r>
    </w:p>
    <w:p w14:paraId="0974AE8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2.甲方应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协调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调乙方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过程中可能出现的各种问题。</w:t>
      </w:r>
    </w:p>
    <w:p w14:paraId="30321E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3.甲方有权对乙方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进程和质量进行督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导核查，甲方以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陕西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省防返贫监测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预警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平台为基础，对乙方采集的问卷信息进行比对。对问卷信息与系统信息严重不一致的，责成乙方重新进行入户调查。</w:t>
      </w:r>
    </w:p>
    <w:p w14:paraId="5E26FF4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4.甲方有权对乙方提供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方案、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暗访调研工作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报告等进行评审。乙方应尊重并吸收甲方的意见和建议。</w:t>
      </w:r>
    </w:p>
    <w:p w14:paraId="4032A4B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全程督查指导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工作。</w:t>
      </w:r>
    </w:p>
    <w:p w14:paraId="4E9A3A4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6.甲方有义务按照本合同约定，按时拨付项目款。</w:t>
      </w:r>
    </w:p>
    <w:p w14:paraId="7E2043F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7.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成果所有权归甲方所有，甲方有权保留追究乙方公开或转让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成果及数据资料等相关责任的权利。</w:t>
      </w:r>
    </w:p>
    <w:p w14:paraId="41E2F9F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  <w:t>、乙方的权利与义务</w:t>
      </w:r>
    </w:p>
    <w:p w14:paraId="2F80A05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1.乙方应坚持独立、客观、公正、公平、科学的原则，认真执行有关法律法规，严格遵守工作规程和技术准则，确保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工作的真实性、客观性、公正性、公平性。</w:t>
      </w:r>
    </w:p>
    <w:p w14:paraId="277D78E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2.乙方应根据合同规定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进行暗访调研工作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，未经甲方同意，不得擅自变更项目工作范围、删减内容指标。乙方按约定时间向甲方提交结果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，不得将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暗访调研成果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用于其他学术研究。</w:t>
      </w:r>
    </w:p>
    <w:p w14:paraId="54833B2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3.乙方应加强人员培训，使调查人员熟悉政策标准、工作流程和访谈技巧，如实、准确记录评估信息，规范、工整填写调查问卷。</w:t>
      </w:r>
    </w:p>
    <w:p w14:paraId="5911489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4.乙方应为所有调查人员购买人身安全保险，如发生乙方人员安全问题，均由乙方负责。</w:t>
      </w:r>
    </w:p>
    <w:p w14:paraId="048A6DE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5.乙方在实地评估中应严格遵守中央“八项规定”等有关规定，独立开展评估工作。</w:t>
      </w:r>
    </w:p>
    <w:p w14:paraId="478AD32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6.乙方人员应尊重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对象，对调查信息不做评论、不持主观态度，并对评估内容和评估结果负有保密责任。在实地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中，因乙方人为原因引发的矛盾冲突，由乙方承担全部责任。</w:t>
      </w:r>
    </w:p>
    <w:p w14:paraId="02B2487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eastAsia="zh-CN"/>
        </w:rPr>
        <w:t>八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  <w:t>、违约责任</w:t>
      </w:r>
    </w:p>
    <w:p w14:paraId="0EA33AB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1.由于乙方人员违反评估纪律，导致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结果严重失实的，甲方有权责成乙方重新派员进行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。因重新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暗访调研产生的费用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由乙方负责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若对甲方造成了损失，应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予以赔偿。</w:t>
      </w:r>
    </w:p>
    <w:p w14:paraId="3A17EBB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.由于乙方人为原因或程序性缺失等非甲方原因导致的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暗访调研工作失实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，或因违反工作规定和操作规程等非甲方原因造成恶劣影响的，甲方有权追究乙方的责任，由此引起的经济损失及政治影响由乙方承担。</w:t>
      </w:r>
    </w:p>
    <w:p w14:paraId="76B6861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.乙方不得将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现场照片、视频上传至网络，否则，甲方有权要求乙方支付合同总额5%的违约金。乙方将评估现场照片、视频上传至网络导致侵犯他人权利的，所有责任和纠纷由乙方承担和负责。</w:t>
      </w:r>
    </w:p>
    <w:p w14:paraId="0D1F514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.若乙方存在超出本合同约定范围的其他不正当要求和行为，应向甲方支付合同总额5%的违约金，不足以弥补甲方损失的，还应予以赔偿。</w:t>
      </w:r>
    </w:p>
    <w:p w14:paraId="7A5009F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.每发现乙方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次违反保密义务行为的，应向甲方承担1%的违约责任，不足以弥补甲方损失的，还应予以赔偿。</w:t>
      </w:r>
    </w:p>
    <w:p w14:paraId="3793250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u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u w:val="none"/>
        </w:rPr>
        <w:t>、验收</w:t>
      </w:r>
    </w:p>
    <w:p w14:paraId="34D7D29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1.由甲方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项目结束后，将对本次暗访调研项目的效果进行验收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，乙方对最终提交的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暗访调研工作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报告负完全责任。</w:t>
      </w:r>
    </w:p>
    <w:p w14:paraId="7E1B032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验收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依据：</w:t>
      </w:r>
    </w:p>
    <w:p w14:paraId="61F0E41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（1）本合同；</w:t>
      </w:r>
    </w:p>
    <w:p w14:paraId="30614CE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（2）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文件、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文件，如本合同与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文件、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文件细节规定不一致，以合同为准。</w:t>
      </w:r>
    </w:p>
    <w:p w14:paraId="148B698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3.根据甲方确定的验收标准组织验收。</w:t>
      </w:r>
    </w:p>
    <w:p w14:paraId="7C544D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4.甲方出具项目验收结论，以此作为验收合格凭据。</w:t>
      </w:r>
    </w:p>
    <w:p w14:paraId="697EBFE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  <w:lang w:val="en-US" w:eastAsia="zh-CN"/>
        </w:rPr>
        <w:t>十</w:t>
      </w: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24"/>
          <w:szCs w:val="24"/>
        </w:rPr>
        <w:t>、争议</w:t>
      </w:r>
    </w:p>
    <w:p w14:paraId="0ACE15A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1.甲乙双方履行合同产生争议的，应友好协商解决，协商不成的，向甲方所在地有管辖权的法院提起诉讼。</w:t>
      </w:r>
    </w:p>
    <w:p w14:paraId="2EAE426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2.本合同未尽事宜，由甲乙双方另行签订书面补充协议。</w:t>
      </w:r>
    </w:p>
    <w:p w14:paraId="4DF840C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本合同一式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份，甲方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份，乙方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份，招标代理公司1份。自甲乙双方签字盖章之日起生效，具有同等法律效力。</w:t>
      </w:r>
    </w:p>
    <w:p w14:paraId="0334662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 </w:t>
      </w:r>
    </w:p>
    <w:p w14:paraId="2C5BF44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甲方（公章）         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乙方（公章）</w:t>
      </w:r>
    </w:p>
    <w:p w14:paraId="3ABF21D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 </w:t>
      </w:r>
    </w:p>
    <w:p w14:paraId="7D03B6B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法人/委托代理人：     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法人/委托代理人： </w:t>
      </w:r>
    </w:p>
    <w:p w14:paraId="675C823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 xml:space="preserve">年  月   日      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年  月   日</w:t>
      </w:r>
    </w:p>
    <w:p w14:paraId="197BCC4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6B9AAAE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上述内容可根据本项目《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文件》供应商《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文件》进行细化和调整。</w:t>
      </w:r>
    </w:p>
    <w:p w14:paraId="7A8981E6">
      <w:pPr>
        <w:adjustRightInd w:val="0"/>
        <w:snapToGrid w:val="0"/>
        <w:spacing w:line="339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93E2835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128E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44625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44625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112A"/>
    <w:multiLevelType w:val="singleLevel"/>
    <w:tmpl w:val="FFDF11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16AA4"/>
    <w:rsid w:val="23894995"/>
    <w:rsid w:val="6EE1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3046</Words>
  <Characters>3114</Characters>
  <Lines>0</Lines>
  <Paragraphs>0</Paragraphs>
  <TotalTime>3</TotalTime>
  <ScaleCrop>false</ScaleCrop>
  <LinksUpToDate>false</LinksUpToDate>
  <CharactersWithSpaces>3217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2025-03-26T05:51:00Z</dcterms:created>
  <dc:creator>JYZB</dc:creator>
  <cp:lastModifiedBy>¬_¬~EmiKo:D</cp:lastModifiedBy>
  <dcterms:modified xsi:type="dcterms:W3CDTF">2025-09-10T11:00:42Z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8CD889A635AB43B7A8FB54D349FFAE9A_13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