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版本号：DQB-2025069-CS20250915001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陕西省司法厅2025年陕西省法治建设人民群众满意度调查项目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DQB-2025069-CS</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陕西省司法厅2025年陕西省法治建设人民群众满意度调查项目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DQB-2025069-CS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陕西省司法厅2025年陕西省法治建设人民群众满意度调查项目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陕西省司法厅2025年陕西省法治建设人民群众满意度调查项目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采购包1（陕西省司法厅2025年陕西省法治建设人民群众满意度调查项目）：属于专门面向中小企业采购。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陕西省司法厅经办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银行账号：52880188000138634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代理服务费收费标准：采购代理服务费100万以下，按费率1.5%计取，核算代理服务费低于5000元时按5000元收取。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采购人综合评定成果质量是否达到采购要求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了解人民群众对陕西省法治政府建设工作的感受和评价，评估建设成效，为相关工作优化提升提供抓手，依据《法治政府建设纲要（2021—2025年）》《陕西省法治政府建设实施方案（2021—2025年）》《陕西省关于进一步推进法治政府建设的若干措施》《2025年陕西省法治政府建设工作要点》等文件要求，本年度拟委托专业权威调查机构，对我省市县法治政府建设情况进行满意度调查。 调查机构需采用电话调查、网络调查等方式，围绕法治政府建设工作的相关要求进行调查内容设计，对生活和工作在陕西省的普通群众、市场主体开展法治政府建设满意度调查，全省完成40000个有效样本（全省总人口数的1‰），每个地级市3000-4000个样本，需覆盖所有区县，每个区县样本量不低于200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满意度调查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标的名称：满意度调查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为深入了解人民群众对陕西省法治政府建设工作的感受和评价，评估建设成效，为相关工作优化提升提供抓手，依据《法治政府建设纲要（</w:t>
            </w:r>
            <w:r>
              <w:rPr>
                <w:rFonts w:ascii="仿宋_GB2312" w:hAnsi="仿宋_GB2312" w:cs="仿宋_GB2312" w:eastAsia="仿宋_GB2312"/>
                <w:sz w:val="21"/>
              </w:rPr>
              <w:t>2021</w:t>
            </w:r>
            <w:r>
              <w:rPr>
                <w:rFonts w:ascii="仿宋_GB2312" w:hAnsi="仿宋_GB2312" w:cs="仿宋_GB2312" w:eastAsia="仿宋_GB2312"/>
                <w:sz w:val="21"/>
              </w:rPr>
              <w:t>—</w:t>
            </w:r>
            <w:r>
              <w:rPr>
                <w:rFonts w:ascii="仿宋_GB2312" w:hAnsi="仿宋_GB2312" w:cs="仿宋_GB2312" w:eastAsia="仿宋_GB2312"/>
                <w:sz w:val="21"/>
              </w:rPr>
              <w:t>2025</w:t>
            </w:r>
            <w:r>
              <w:rPr>
                <w:rFonts w:ascii="仿宋_GB2312" w:hAnsi="仿宋_GB2312" w:cs="仿宋_GB2312" w:eastAsia="仿宋_GB2312"/>
                <w:sz w:val="21"/>
              </w:rPr>
              <w:t>年）》《陕西省法治政府建设实施方案（</w:t>
            </w:r>
            <w:r>
              <w:rPr>
                <w:rFonts w:ascii="仿宋_GB2312" w:hAnsi="仿宋_GB2312" w:cs="仿宋_GB2312" w:eastAsia="仿宋_GB2312"/>
                <w:sz w:val="21"/>
              </w:rPr>
              <w:t>2021</w:t>
            </w:r>
            <w:r>
              <w:rPr>
                <w:rFonts w:ascii="仿宋_GB2312" w:hAnsi="仿宋_GB2312" w:cs="仿宋_GB2312" w:eastAsia="仿宋_GB2312"/>
                <w:sz w:val="21"/>
              </w:rPr>
              <w:t>—</w:t>
            </w:r>
            <w:r>
              <w:rPr>
                <w:rFonts w:ascii="仿宋_GB2312" w:hAnsi="仿宋_GB2312" w:cs="仿宋_GB2312" w:eastAsia="仿宋_GB2312"/>
                <w:sz w:val="21"/>
              </w:rPr>
              <w:t>2025</w:t>
            </w:r>
            <w:r>
              <w:rPr>
                <w:rFonts w:ascii="仿宋_GB2312" w:hAnsi="仿宋_GB2312" w:cs="仿宋_GB2312" w:eastAsia="仿宋_GB2312"/>
                <w:sz w:val="21"/>
              </w:rPr>
              <w:t>年）》《陕西省关于进一步推进法治政府建设的若干措施》《</w:t>
            </w:r>
            <w:r>
              <w:rPr>
                <w:rFonts w:ascii="仿宋_GB2312" w:hAnsi="仿宋_GB2312" w:cs="仿宋_GB2312" w:eastAsia="仿宋_GB2312"/>
                <w:sz w:val="21"/>
              </w:rPr>
              <w:t>2025</w:t>
            </w:r>
            <w:r>
              <w:rPr>
                <w:rFonts w:ascii="仿宋_GB2312" w:hAnsi="仿宋_GB2312" w:cs="仿宋_GB2312" w:eastAsia="仿宋_GB2312"/>
                <w:sz w:val="21"/>
              </w:rPr>
              <w:t>年陕西省法治政府建设工作要点》等文件要求，本年度拟委托专业权威调查机构，对我省市县法治政府建设情况进行满意度调查。</w:t>
            </w:r>
          </w:p>
          <w:p>
            <w:pPr>
              <w:pStyle w:val="null3"/>
              <w:ind w:firstLine="420"/>
              <w:jc w:val="both"/>
            </w:pPr>
            <w:r>
              <w:rPr>
                <w:rFonts w:ascii="仿宋_GB2312" w:hAnsi="仿宋_GB2312" w:cs="仿宋_GB2312" w:eastAsia="仿宋_GB2312"/>
                <w:sz w:val="21"/>
              </w:rPr>
              <w:t>调查机构需采用电话调查、网络调查等方式，围绕法治政府建设工作的相关要求进行调查内容设计，对生活和工作在陕西省的普通群众、市场主体开展法治政府建设满意度调查，全省完成</w:t>
            </w:r>
            <w:r>
              <w:rPr>
                <w:rFonts w:ascii="仿宋_GB2312" w:hAnsi="仿宋_GB2312" w:cs="仿宋_GB2312" w:eastAsia="仿宋_GB2312"/>
                <w:sz w:val="21"/>
              </w:rPr>
              <w:t>40000</w:t>
            </w:r>
            <w:r>
              <w:rPr>
                <w:rFonts w:ascii="仿宋_GB2312" w:hAnsi="仿宋_GB2312" w:cs="仿宋_GB2312" w:eastAsia="仿宋_GB2312"/>
                <w:sz w:val="21"/>
              </w:rPr>
              <w:t>个有效样本（全省总人口数的</w:t>
            </w:r>
            <w:r>
              <w:rPr>
                <w:rFonts w:ascii="仿宋_GB2312" w:hAnsi="仿宋_GB2312" w:cs="仿宋_GB2312" w:eastAsia="仿宋_GB2312"/>
                <w:sz w:val="21"/>
              </w:rPr>
              <w:t>1</w:t>
            </w:r>
            <w:r>
              <w:rPr>
                <w:rFonts w:ascii="仿宋_GB2312" w:hAnsi="仿宋_GB2312" w:cs="仿宋_GB2312" w:eastAsia="仿宋_GB2312"/>
                <w:sz w:val="21"/>
              </w:rPr>
              <w:t>‰），每个地级市</w:t>
            </w:r>
            <w:r>
              <w:rPr>
                <w:rFonts w:ascii="仿宋_GB2312" w:hAnsi="仿宋_GB2312" w:cs="仿宋_GB2312" w:eastAsia="仿宋_GB2312"/>
                <w:sz w:val="21"/>
              </w:rPr>
              <w:t>3000-4000</w:t>
            </w:r>
            <w:r>
              <w:rPr>
                <w:rFonts w:ascii="仿宋_GB2312" w:hAnsi="仿宋_GB2312" w:cs="仿宋_GB2312" w:eastAsia="仿宋_GB2312"/>
                <w:sz w:val="21"/>
              </w:rPr>
              <w:t>个样本，需覆盖所有区县，每个区县样本量不低于</w:t>
            </w:r>
            <w:r>
              <w:rPr>
                <w:rFonts w:ascii="仿宋_GB2312" w:hAnsi="仿宋_GB2312" w:cs="仿宋_GB2312" w:eastAsia="仿宋_GB2312"/>
                <w:sz w:val="21"/>
              </w:rPr>
              <w:t>200</w:t>
            </w:r>
            <w:r>
              <w:rPr>
                <w:rFonts w:ascii="仿宋_GB2312" w:hAnsi="仿宋_GB2312" w:cs="仿宋_GB2312" w:eastAsia="仿宋_GB2312"/>
                <w:sz w:val="21"/>
              </w:rPr>
              <w:t>个。</w:t>
            </w:r>
          </w:p>
          <w:p>
            <w:pPr>
              <w:pStyle w:val="null3"/>
              <w:ind w:firstLine="422"/>
              <w:jc w:val="both"/>
            </w:pPr>
            <w:r>
              <w:rPr>
                <w:rFonts w:ascii="仿宋_GB2312" w:hAnsi="仿宋_GB2312" w:cs="仿宋_GB2312" w:eastAsia="仿宋_GB2312"/>
                <w:sz w:val="21"/>
                <w:b/>
              </w:rPr>
              <w:t>二、技术参数与性能指标</w:t>
            </w:r>
          </w:p>
          <w:tbl>
            <w:tblPr>
              <w:tblInd w:type="dxa" w:w="120"/>
              <w:tblBorders>
                <w:top w:val="none" w:color="000000" w:sz="4"/>
                <w:left w:val="none" w:color="000000" w:sz="4"/>
                <w:bottom w:val="none" w:color="000000" w:sz="4"/>
                <w:right w:val="none" w:color="000000" w:sz="4"/>
                <w:insideH w:val="none"/>
                <w:insideV w:val="none"/>
              </w:tblBorders>
            </w:tblPr>
            <w:tblGrid>
              <w:gridCol w:w="346"/>
              <w:gridCol w:w="207"/>
              <w:gridCol w:w="2000"/>
            </w:tblGrid>
            <w:tr>
              <w:tc>
                <w:tcPr>
                  <w:tcW w:type="dxa" w:w="346"/>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b/>
                    </w:rPr>
                    <w:t>参数性质</w:t>
                  </w:r>
                </w:p>
              </w:tc>
              <w:tc>
                <w:tcPr>
                  <w:tcW w:type="dxa" w:w="20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b/>
                    </w:rPr>
                    <w:t>序号</w:t>
                  </w:r>
                </w:p>
              </w:tc>
              <w:tc>
                <w:tcPr>
                  <w:tcW w:type="dxa" w:w="200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b/>
                    </w:rPr>
                    <w:t>技术参数与性能指标</w:t>
                  </w:r>
                </w:p>
              </w:tc>
            </w:tr>
            <w:tr>
              <w:tc>
                <w:tcPr>
                  <w:tcW w:type="dxa" w:w="3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0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u w:val="single"/>
                    </w:rPr>
                    <w:t>根据法治政府建设和委托方相关要求，设计一份陕西省法治政府建设人民群众满意度测评的指标体系和问卷调查。</w:t>
                  </w:r>
                </w:p>
              </w:tc>
            </w:tr>
            <w:tr>
              <w:tc>
                <w:tcPr>
                  <w:tcW w:type="dxa" w:w="3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2</w:t>
                  </w:r>
                </w:p>
              </w:tc>
              <w:tc>
                <w:tcPr>
                  <w:tcW w:type="dxa" w:w="20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u w:val="single"/>
                    </w:rPr>
                    <w:t>根据委托方要求，在全省范围完成</w:t>
                  </w:r>
                  <w:r>
                    <w:rPr>
                      <w:rFonts w:ascii="仿宋_GB2312" w:hAnsi="仿宋_GB2312" w:cs="仿宋_GB2312" w:eastAsia="仿宋_GB2312"/>
                      <w:sz w:val="21"/>
                      <w:u w:val="single"/>
                    </w:rPr>
                    <w:t>30000-40000</w:t>
                  </w:r>
                  <w:r>
                    <w:rPr>
                      <w:rFonts w:ascii="仿宋_GB2312" w:hAnsi="仿宋_GB2312" w:cs="仿宋_GB2312" w:eastAsia="仿宋_GB2312"/>
                      <w:sz w:val="21"/>
                      <w:u w:val="single"/>
                    </w:rPr>
                    <w:t>个法治政府满意度测评有效问卷样本（全省总人口数的</w:t>
                  </w:r>
                  <w:r>
                    <w:rPr>
                      <w:rFonts w:ascii="仿宋_GB2312" w:hAnsi="仿宋_GB2312" w:cs="仿宋_GB2312" w:eastAsia="仿宋_GB2312"/>
                      <w:sz w:val="21"/>
                      <w:u w:val="single"/>
                    </w:rPr>
                    <w:t>1</w:t>
                  </w:r>
                  <w:r>
                    <w:rPr>
                      <w:rFonts w:ascii="仿宋_GB2312" w:hAnsi="仿宋_GB2312" w:cs="仿宋_GB2312" w:eastAsia="仿宋_GB2312"/>
                      <w:sz w:val="21"/>
                      <w:u w:val="single"/>
                    </w:rPr>
                    <w:t>‰）、每个地级市</w:t>
                  </w:r>
                  <w:r>
                    <w:rPr>
                      <w:rFonts w:ascii="仿宋_GB2312" w:hAnsi="仿宋_GB2312" w:cs="仿宋_GB2312" w:eastAsia="仿宋_GB2312"/>
                      <w:sz w:val="21"/>
                      <w:u w:val="single"/>
                    </w:rPr>
                    <w:t>3000-4000</w:t>
                  </w:r>
                  <w:r>
                    <w:rPr>
                      <w:rFonts w:ascii="仿宋_GB2312" w:hAnsi="仿宋_GB2312" w:cs="仿宋_GB2312" w:eastAsia="仿宋_GB2312"/>
                      <w:sz w:val="21"/>
                      <w:u w:val="single"/>
                    </w:rPr>
                    <w:t>个样本，需覆盖所有区县，每个区县样本量不低于</w:t>
                  </w:r>
                  <w:r>
                    <w:rPr>
                      <w:rFonts w:ascii="仿宋_GB2312" w:hAnsi="仿宋_GB2312" w:cs="仿宋_GB2312" w:eastAsia="仿宋_GB2312"/>
                      <w:sz w:val="21"/>
                      <w:u w:val="single"/>
                    </w:rPr>
                    <w:t>200</w:t>
                  </w:r>
                  <w:r>
                    <w:rPr>
                      <w:rFonts w:ascii="仿宋_GB2312" w:hAnsi="仿宋_GB2312" w:cs="仿宋_GB2312" w:eastAsia="仿宋_GB2312"/>
                      <w:sz w:val="21"/>
                      <w:u w:val="single"/>
                    </w:rPr>
                    <w:t>个。</w:t>
                  </w:r>
                </w:p>
              </w:tc>
            </w:tr>
            <w:tr>
              <w:tc>
                <w:tcPr>
                  <w:tcW w:type="dxa" w:w="3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3</w:t>
                  </w:r>
                </w:p>
              </w:tc>
              <w:tc>
                <w:tcPr>
                  <w:tcW w:type="dxa" w:w="20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u w:val="single"/>
                    </w:rPr>
                    <w:t>完成《陕西省法治政府建设人民群众满意度评估总报告》</w:t>
                  </w:r>
                </w:p>
              </w:tc>
            </w:tr>
            <w:tr>
              <w:tc>
                <w:tcPr>
                  <w:tcW w:type="dxa" w:w="3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4</w:t>
                  </w:r>
                </w:p>
              </w:tc>
              <w:tc>
                <w:tcPr>
                  <w:tcW w:type="dxa" w:w="20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u w:val="single"/>
                    </w:rPr>
                    <w:t>完成《陕西省各地市法治政府建设满意度测评</w:t>
                  </w:r>
                  <w:r>
                    <w:rPr>
                      <w:rFonts w:ascii="仿宋_GB2312" w:hAnsi="仿宋_GB2312" w:cs="仿宋_GB2312" w:eastAsia="仿宋_GB2312"/>
                      <w:sz w:val="21"/>
                      <w:u w:val="single"/>
                    </w:rPr>
                    <w:t>分报告</w:t>
                  </w:r>
                  <w:r>
                    <w:rPr>
                      <w:rFonts w:ascii="仿宋_GB2312" w:hAnsi="仿宋_GB2312" w:cs="仿宋_GB2312" w:eastAsia="仿宋_GB2312"/>
                      <w:sz w:val="21"/>
                      <w:u w:val="single"/>
                    </w:rPr>
                    <w:t>（</w:t>
                  </w:r>
                  <w:r>
                    <w:rPr>
                      <w:rFonts w:ascii="仿宋_GB2312" w:hAnsi="仿宋_GB2312" w:cs="仿宋_GB2312" w:eastAsia="仿宋_GB2312"/>
                      <w:sz w:val="21"/>
                      <w:u w:val="single"/>
                    </w:rPr>
                    <w:t>10</w:t>
                  </w:r>
                  <w:r>
                    <w:rPr>
                      <w:rFonts w:ascii="仿宋_GB2312" w:hAnsi="仿宋_GB2312" w:cs="仿宋_GB2312" w:eastAsia="仿宋_GB2312"/>
                      <w:sz w:val="21"/>
                      <w:u w:val="single"/>
                    </w:rPr>
                    <w:t>个市及杨凌区的分报告，体现区县情况）》。</w:t>
                  </w:r>
                </w:p>
              </w:tc>
            </w:tr>
            <w:tr>
              <w:tc>
                <w:tcPr>
                  <w:tcW w:type="dxa" w:w="3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5</w:t>
                  </w:r>
                </w:p>
              </w:tc>
              <w:tc>
                <w:tcPr>
                  <w:tcW w:type="dxa" w:w="20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u w:val="single"/>
                    </w:rPr>
                    <w:t>投标人具有法治类相关调查评估经验：提供</w:t>
                  </w:r>
                  <w:r>
                    <w:rPr>
                      <w:rFonts w:ascii="仿宋_GB2312" w:hAnsi="仿宋_GB2312" w:cs="仿宋_GB2312" w:eastAsia="仿宋_GB2312"/>
                      <w:sz w:val="21"/>
                      <w:u w:val="single"/>
                    </w:rPr>
                    <w:t>2022</w:t>
                  </w:r>
                  <w:r>
                    <w:rPr>
                      <w:rFonts w:ascii="仿宋_GB2312" w:hAnsi="仿宋_GB2312" w:cs="仿宋_GB2312" w:eastAsia="仿宋_GB2312"/>
                      <w:sz w:val="21"/>
                      <w:u w:val="single"/>
                    </w:rPr>
                    <w:t>年至今完成的法治、司法类评估的业绩合同，包含首页、金额页、签章页等。</w:t>
                  </w:r>
                </w:p>
                <w:p>
                  <w:pPr>
                    <w:pStyle w:val="null3"/>
                    <w:jc w:val="left"/>
                  </w:pPr>
                  <w:r>
                    <w:rPr>
                      <w:rFonts w:ascii="仿宋_GB2312" w:hAnsi="仿宋_GB2312" w:cs="仿宋_GB2312" w:eastAsia="仿宋_GB2312"/>
                      <w:sz w:val="21"/>
                      <w:u w:val="single"/>
                    </w:rPr>
                    <w:t>项目团队成员具有法学、统计学等学历背景、相关专业技术能力。现场专职调研人员不少于</w:t>
                  </w:r>
                  <w:r>
                    <w:rPr>
                      <w:rFonts w:ascii="仿宋_GB2312" w:hAnsi="仿宋_GB2312" w:cs="仿宋_GB2312" w:eastAsia="仿宋_GB2312"/>
                      <w:sz w:val="21"/>
                      <w:u w:val="single"/>
                    </w:rPr>
                    <w:t>3</w:t>
                  </w:r>
                  <w:r>
                    <w:rPr>
                      <w:rFonts w:ascii="仿宋_GB2312" w:hAnsi="仿宋_GB2312" w:cs="仿宋_GB2312" w:eastAsia="仿宋_GB2312"/>
                      <w:sz w:val="21"/>
                      <w:u w:val="single"/>
                    </w:rPr>
                    <w:t>人（杜绝兼职人员）。</w:t>
                  </w:r>
                </w:p>
              </w:tc>
            </w:tr>
          </w:tbl>
          <w:p>
            <w:pPr>
              <w:pStyle w:val="null3"/>
              <w:jc w:val="both"/>
              <w:outlineLvl w:val="0"/>
            </w:pPr>
            <w:r>
              <w:rPr>
                <w:rFonts w:ascii="仿宋_GB2312" w:hAnsi="仿宋_GB2312" w:cs="仿宋_GB2312" w:eastAsia="仿宋_GB2312"/>
                <w:sz w:val="21"/>
                <w:b/>
              </w:rPr>
              <w:t xml:space="preserve">  三、</w:t>
            </w:r>
            <w:r>
              <w:rPr>
                <w:rFonts w:ascii="仿宋_GB2312" w:hAnsi="仿宋_GB2312" w:cs="仿宋_GB2312" w:eastAsia="仿宋_GB2312"/>
                <w:sz w:val="21"/>
                <w:b/>
              </w:rPr>
              <w:t>付款方式</w:t>
            </w:r>
          </w:p>
          <w:p>
            <w:pPr>
              <w:pStyle w:val="null3"/>
              <w:ind w:firstLine="480"/>
              <w:jc w:val="both"/>
            </w:pPr>
            <w:r>
              <w:rPr>
                <w:rFonts w:ascii="仿宋_GB2312" w:hAnsi="仿宋_GB2312" w:cs="仿宋_GB2312" w:eastAsia="仿宋_GB2312"/>
                <w:sz w:val="21"/>
              </w:rPr>
              <w:t>分期付款：</w:t>
            </w:r>
          </w:p>
          <w:p>
            <w:pPr>
              <w:pStyle w:val="null3"/>
              <w:ind w:firstLine="480"/>
              <w:jc w:val="both"/>
            </w:pPr>
            <w:r>
              <w:rPr>
                <w:rFonts w:ascii="仿宋_GB2312" w:hAnsi="仿宋_GB2312" w:cs="仿宋_GB2312" w:eastAsia="仿宋_GB2312"/>
                <w:sz w:val="21"/>
              </w:rPr>
              <w:t>合同签订后</w:t>
            </w:r>
            <w:r>
              <w:rPr>
                <w:rFonts w:ascii="仿宋_GB2312" w:hAnsi="仿宋_GB2312" w:cs="仿宋_GB2312" w:eastAsia="仿宋_GB2312"/>
                <w:sz w:val="21"/>
              </w:rPr>
              <w:t>15</w:t>
            </w:r>
            <w:r>
              <w:rPr>
                <w:rFonts w:ascii="仿宋_GB2312" w:hAnsi="仿宋_GB2312" w:cs="仿宋_GB2312" w:eastAsia="仿宋_GB2312"/>
                <w:sz w:val="21"/>
              </w:rPr>
              <w:t>个</w:t>
            </w:r>
            <w:r>
              <w:rPr>
                <w:rFonts w:ascii="仿宋_GB2312" w:hAnsi="仿宋_GB2312" w:cs="仿宋_GB2312" w:eastAsia="仿宋_GB2312"/>
                <w:sz w:val="21"/>
              </w:rPr>
              <w:t>日历日</w:t>
            </w:r>
            <w:r>
              <w:rPr>
                <w:rFonts w:ascii="仿宋_GB2312" w:hAnsi="仿宋_GB2312" w:cs="仿宋_GB2312" w:eastAsia="仿宋_GB2312"/>
                <w:sz w:val="21"/>
              </w:rPr>
              <w:t>内支付合同总额的</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项目整体内容完成组织验收，通过验收后</w:t>
            </w:r>
            <w:r>
              <w:rPr>
                <w:rFonts w:ascii="仿宋_GB2312" w:hAnsi="仿宋_GB2312" w:cs="仿宋_GB2312" w:eastAsia="仿宋_GB2312"/>
                <w:sz w:val="21"/>
              </w:rPr>
              <w:t>15个日历日</w:t>
            </w:r>
            <w:r>
              <w:rPr>
                <w:rFonts w:ascii="仿宋_GB2312" w:hAnsi="仿宋_GB2312" w:cs="仿宋_GB2312" w:eastAsia="仿宋_GB2312"/>
                <w:sz w:val="21"/>
              </w:rPr>
              <w:t>内甲方支付合同总金额的</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w:t>
            </w:r>
          </w:p>
          <w:p>
            <w:pPr>
              <w:pStyle w:val="null3"/>
              <w:ind w:firstLine="402"/>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、商务要求</w:t>
            </w:r>
          </w:p>
          <w:p>
            <w:pPr>
              <w:pStyle w:val="null3"/>
              <w:ind w:firstLine="400"/>
              <w:jc w:val="left"/>
            </w:pPr>
            <w:r>
              <w:rPr>
                <w:rFonts w:ascii="仿宋_GB2312" w:hAnsi="仿宋_GB2312" w:cs="仿宋_GB2312" w:eastAsia="仿宋_GB2312"/>
                <w:sz w:val="20"/>
                <w:color w:val="000000"/>
              </w:rPr>
              <w:t>1. 服务期限：自合同签订之日起60日</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 服务地点：采购人指定地点。</w:t>
            </w:r>
          </w:p>
          <w:p>
            <w:pPr>
              <w:pStyle w:val="null3"/>
              <w:ind w:firstLine="402"/>
              <w:jc w:val="left"/>
            </w:pPr>
            <w:r>
              <w:rPr>
                <w:rFonts w:ascii="仿宋_GB2312" w:hAnsi="仿宋_GB2312" w:cs="仿宋_GB2312" w:eastAsia="仿宋_GB2312"/>
                <w:sz w:val="20"/>
                <w:b/>
                <w:color w:val="000000"/>
              </w:rPr>
              <w:t>五、履约验收方案</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验收交付标准和方法：成果达到采购人要求，采购人内部验收。</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履约验收程序：项目成果提交后进行验收。</w:t>
            </w:r>
          </w:p>
          <w:p>
            <w:pPr>
              <w:pStyle w:val="null3"/>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履约验收时间：项目成果提交后</w:t>
            </w:r>
            <w:r>
              <w:rPr>
                <w:rFonts w:ascii="仿宋_GB2312" w:hAnsi="仿宋_GB2312" w:cs="仿宋_GB2312" w:eastAsia="仿宋_GB2312"/>
                <w:sz w:val="20"/>
                <w:color w:val="000000"/>
              </w:rPr>
              <w:t>10个工作日内。</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技</w:t>
            </w:r>
            <w:r>
              <w:rPr>
                <w:rFonts w:ascii="仿宋_GB2312" w:hAnsi="仿宋_GB2312" w:cs="仿宋_GB2312" w:eastAsia="仿宋_GB2312"/>
                <w:sz w:val="21"/>
              </w:rPr>
              <w:t>术履约验收内容：</w:t>
            </w:r>
          </w:p>
          <w:p>
            <w:pPr>
              <w:pStyle w:val="null3"/>
              <w:ind w:firstLine="420"/>
              <w:jc w:val="left"/>
            </w:pPr>
            <w:r>
              <w:rPr>
                <w:rFonts w:ascii="仿宋_GB2312" w:hAnsi="仿宋_GB2312" w:cs="仿宋_GB2312" w:eastAsia="仿宋_GB2312"/>
                <w:sz w:val="21"/>
              </w:rPr>
              <w:t>4.1</w:t>
            </w:r>
            <w:r>
              <w:rPr>
                <w:rFonts w:ascii="仿宋_GB2312" w:hAnsi="仿宋_GB2312" w:cs="仿宋_GB2312" w:eastAsia="仿宋_GB2312"/>
                <w:sz w:val="21"/>
              </w:rPr>
              <w:t>陕西省法治建设人民群众满意度测评的指标体系和问卷调查。</w:t>
            </w:r>
          </w:p>
          <w:p>
            <w:pPr>
              <w:pStyle w:val="null3"/>
              <w:ind w:firstLine="420"/>
              <w:jc w:val="left"/>
            </w:pPr>
            <w:r>
              <w:rPr>
                <w:rFonts w:ascii="仿宋_GB2312" w:hAnsi="仿宋_GB2312" w:cs="仿宋_GB2312" w:eastAsia="仿宋_GB2312"/>
                <w:sz w:val="21"/>
              </w:rPr>
              <w:t>4.2</w:t>
            </w:r>
            <w:r>
              <w:rPr>
                <w:rFonts w:ascii="仿宋_GB2312" w:hAnsi="仿宋_GB2312" w:cs="仿宋_GB2312" w:eastAsia="仿宋_GB2312"/>
                <w:sz w:val="21"/>
              </w:rPr>
              <w:t>陕西省法治建设人民群众满意度评估总报告。</w:t>
            </w:r>
          </w:p>
          <w:p>
            <w:pPr>
              <w:pStyle w:val="null3"/>
              <w:ind w:firstLine="420"/>
              <w:jc w:val="left"/>
            </w:pPr>
            <w:r>
              <w:rPr>
                <w:rFonts w:ascii="仿宋_GB2312" w:hAnsi="仿宋_GB2312" w:cs="仿宋_GB2312" w:eastAsia="仿宋_GB2312"/>
                <w:sz w:val="21"/>
              </w:rPr>
              <w:t>4.3</w:t>
            </w:r>
            <w:r>
              <w:rPr>
                <w:rFonts w:ascii="仿宋_GB2312" w:hAnsi="仿宋_GB2312" w:cs="仿宋_GB2312" w:eastAsia="仿宋_GB2312"/>
                <w:sz w:val="21"/>
              </w:rPr>
              <w:t>陕西省各地市法治建设满意度测评简报（</w:t>
            </w:r>
            <w:r>
              <w:rPr>
                <w:rFonts w:ascii="仿宋_GB2312" w:hAnsi="仿宋_GB2312" w:cs="仿宋_GB2312" w:eastAsia="仿宋_GB2312"/>
                <w:sz w:val="21"/>
              </w:rPr>
              <w:t>10</w:t>
            </w:r>
            <w:r>
              <w:rPr>
                <w:rFonts w:ascii="仿宋_GB2312" w:hAnsi="仿宋_GB2312" w:cs="仿宋_GB2312" w:eastAsia="仿宋_GB2312"/>
                <w:sz w:val="21"/>
              </w:rPr>
              <w:t xml:space="preserve">个分报告）。                          </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商务履约验收内容：合同签订</w:t>
            </w:r>
            <w:r>
              <w:rPr>
                <w:rFonts w:ascii="仿宋_GB2312" w:hAnsi="仿宋_GB2312" w:cs="仿宋_GB2312" w:eastAsia="仿宋_GB2312"/>
                <w:sz w:val="21"/>
              </w:rPr>
              <w:t>，</w:t>
            </w:r>
            <w:r>
              <w:rPr>
                <w:rFonts w:ascii="仿宋_GB2312" w:hAnsi="仿宋_GB2312" w:cs="仿宋_GB2312" w:eastAsia="仿宋_GB2312"/>
                <w:sz w:val="21"/>
              </w:rPr>
              <w:t>发票开具等符合要求。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6.</w:t>
            </w:r>
            <w:r>
              <w:rPr>
                <w:rFonts w:ascii="仿宋_GB2312" w:hAnsi="仿宋_GB2312" w:cs="仿宋_GB2312" w:eastAsia="仿宋_GB2312"/>
                <w:sz w:val="21"/>
              </w:rPr>
              <w:t>履约验收标准：采购人综合评定成果质量是否达到采购要求。</w:t>
            </w:r>
            <w:r>
              <w:rPr>
                <w:rFonts w:ascii="仿宋_GB2312" w:hAnsi="仿宋_GB2312" w:cs="仿宋_GB2312" w:eastAsia="仿宋_GB2312"/>
                <w:sz w:val="21"/>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项目整体内容完成组织验收，通过验收后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甲乙双方均应全面履行本合同，任何一方不履行或不按约定履行均构成违约，违约方应赔偿因此给对方造成的全部损失。因履行合同所发生的一切争议，双方应友好协商解决，协商不成的，提交陕西仲裁委员会仲裁，仲裁裁决为终局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近三年无重大违法、违纪书面声明 响应文件封面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近三年无重大违法、违纪书面声明 响应文件封面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针对本项目的调查内容涵盖完整、没有遗漏，调查对象掌握准确，对调查目的理解到位，调研问卷设计合理，计10分； 针对本项目的调查内容涵盖基本完整，调查对象掌握较为准确，对调查目的理解基本到位，调研问卷基本合理，计6分； 针对本项目的调查内容涵盖不完整、有遗漏，调查对象掌握不够准确，对调查目的理解不够清晰，调研问卷不够合理，计2分。 供应商未提供调查内容计0分。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调查方案</w:t>
            </w:r>
          </w:p>
        </w:tc>
        <w:tc>
          <w:tcPr>
            <w:tcW w:type="dxa" w:w="2492"/>
          </w:tcPr>
          <w:p>
            <w:pPr>
              <w:pStyle w:val="null3"/>
            </w:pPr>
            <w:r>
              <w:rPr>
                <w:rFonts w:ascii="仿宋_GB2312" w:hAnsi="仿宋_GB2312" w:cs="仿宋_GB2312" w:eastAsia="仿宋_GB2312"/>
              </w:rPr>
              <w:t>调查方案详细、全面，调查对象完整，时间节点控制科学合理，组织协调措施可行性强、思路清晰，计10分； 调查方案较为详细全面，调查对象不完整、有缺项，时间节点控制基本科学合理，组织协调措施可行性较强，计6分； 调查方案不够详细全面，调查对象有严重缺项，时间节点控制不合理，组织协调措施可行性差，计2分。 供应商未提供调查方案计0分。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指标设计</w:t>
            </w:r>
          </w:p>
        </w:tc>
        <w:tc>
          <w:tcPr>
            <w:tcW w:type="dxa" w:w="2492"/>
          </w:tcPr>
          <w:p>
            <w:pPr>
              <w:pStyle w:val="null3"/>
            </w:pPr>
            <w:r>
              <w:rPr>
                <w:rFonts w:ascii="仿宋_GB2312" w:hAnsi="仿宋_GB2312" w:cs="仿宋_GB2312" w:eastAsia="仿宋_GB2312"/>
              </w:rPr>
              <w:t>根据调查需求对调查指标进行合理设计： 指标体系完整，提供初步设计调查问卷，问卷内容符合项目需求，针对性强，计15分； 指标体系完整，提供初步设计调查问卷，问卷内容较符合项目需求，有针对性，计11分； 指标体系较完整、提供初步设计调查问卷，问卷内容不够清晰，针对性一般，计7分； 指标体系不完整、有遗漏，提供初步设计调查问卷，问卷内容不清晰，无针对性，计3分。 供应商未提供初步设计调查问卷计0分。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供应商针对本次调查工作成立专项小组，调查小组结构合理、调查工作人员配备充足，现场专职调研人员不少于3人（杜绝兼职人员），各岗位职责清晰明确，计10分； 调查小组结构基本合理、调查工作人员配备较为充足，专业技术人员基本齐全，各岗位职责基本清晰明确，计6分； 调查小组结构不合理、调查工作人员配备不够充足，专业技术人员不齐全，各岗位职责不够清晰明确，计2分。 供应商未提供计0分。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项目团队成员具有法学或统计学本科及以上学历背景、相关专业技术能力，团队每一人具备一项或多项计1分，满分5分。供应商未提供计0分。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分析能力</w:t>
            </w:r>
          </w:p>
        </w:tc>
        <w:tc>
          <w:tcPr>
            <w:tcW w:type="dxa" w:w="2492"/>
          </w:tcPr>
          <w:p>
            <w:pPr>
              <w:pStyle w:val="null3"/>
            </w:pPr>
            <w:r>
              <w:rPr>
                <w:rFonts w:ascii="仿宋_GB2312" w:hAnsi="仿宋_GB2312" w:cs="仿宋_GB2312" w:eastAsia="仿宋_GB2312"/>
              </w:rPr>
              <w:t>提供调查分析能力介绍及调查报告模版，根据响应程度赋分。 调查统计分析科学、专业，撰写报告能力精湛，所提供的调查报告内容准确、详尽完善、分析得当、针对性强，计15分； 调查统计分析基本科学合理，具有一定的撰写报告能力，所提供的调查报告内容较准确、较为详尽完善、分析得当、具有一定的针对性，计11分； 调查统计分析不够科学合理、专业性一般，撰写报告能力一般，针对性一般，所提供的调查报告内容不够准确、不够详尽完善，计7分； 调查统计分析不够科学合理、专业性一般，撰写报告能力差，无针对性，所提供的调查报告内容缺项、漏项，计3分。 供应商未提供计0分。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供应商针对本项目调查的数据有很强的保密性、严谨性，案件归档方案及措施完善、详尽，质量保障体系及质量保证措施完善、科学合理，计15分； 供应商针对本项目调查的数据有较强的保密性、严谨性，案件归档方案及措施基本完善、详尽，质量保障体系及质量保证措施较为完善、科学合理，计11分； 供应商针对本项目调查数据的保密性、严谨性一般，案件归档方案及措施不够完善、详尽，质量保障体系及质量保证措施不够完善，计7分。 供应商针对本项目调查数据的保密性、严谨性差，案件归档方案及措施不完善，质量保障体系及质量保证措施不完善，计3分。 供应商未提供计0分。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提供2022年至今完成的法治、司法类评估的业绩合同，包含首页、金额页、签章页等，业绩以合同为依据，每提供一个计2分，满分10分（须提供合同复印件并加盖供应商公章）。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