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版本号：SNJZ-2025-15220250911001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2025民营经济创新发展大会暨知名民企助力陕西高质量发展大会项目（服务项目）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SNJZ-2025-152</w:t>
      </w:r>
      <w:r>
        <w:br/>
      </w:r>
      <w:r>
        <w:br/>
      </w:r>
      <w:r>
        <w:br/>
      </w:r>
    </w:p>
    <w:p>
      <w:pPr>
        <w:pStyle w:val="null3"/>
        <w:jc w:val="center"/>
        <w:outlineLvl w:val="2"/>
      </w:pPr>
      <w:r>
        <w:rPr>
          <w:rFonts w:ascii="仿宋_GB2312" w:hAnsi="仿宋_GB2312" w:cs="仿宋_GB2312" w:eastAsia="仿宋_GB2312"/>
          <w:sz w:val="28"/>
          <w:b/>
        </w:rPr>
        <w:t>省工商联</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省工商联</w:t>
      </w:r>
      <w:r>
        <w:rPr>
          <w:rFonts w:ascii="仿宋_GB2312" w:hAnsi="仿宋_GB2312" w:cs="仿宋_GB2312" w:eastAsia="仿宋_GB2312"/>
        </w:rPr>
        <w:t>委托，拟对</w:t>
      </w:r>
      <w:r>
        <w:rPr>
          <w:rFonts w:ascii="仿宋_GB2312" w:hAnsi="仿宋_GB2312" w:cs="仿宋_GB2312" w:eastAsia="仿宋_GB2312"/>
        </w:rPr>
        <w:t>2025民营经济创新发展大会暨知名民企助力陕西高质量发展大会项目（服务项目）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2025民营经济创新发展大会暨知名民企助力陕西高质量发展大会项目（服务项目）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为2025民营经济创新发展大会暨知名民企助力陕西高质量发展大会提供保障服务。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采购包1（2025民营经济创新发展大会暨知名民企助力陕西高质量发展大会项目（服务项目））：属于专门面向中小企业采购。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2、法定代表人证明书或授权书：法定代表人参加磋商时，提供法定代表人证明书；授权代表参加磋商时，提供法定代表人授权书；非法人单位参照执行。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3、财务状况报告：提供经审计的2024年度的财务报告或提交磋商响应文件截止时间前十二个月银行资信证明；或政府采购信用担保机构出具的投标担保函。</w:t>
      </w:r>
    </w:p>
    <w:p>
      <w:pPr>
        <w:pStyle w:val="null3"/>
      </w:pPr>
      <w:r>
        <w:rPr>
          <w:rFonts w:ascii="仿宋_GB2312" w:hAnsi="仿宋_GB2312" w:cs="仿宋_GB2312" w:eastAsia="仿宋_GB2312"/>
        </w:rPr>
        <w:t>4、税收缴纳证明：提供磋商响应文件递交截止时间近十二个月内至少一个月已缴纳的纳税凭据或完税证明；依法免税的供应商应提供相关文件证明。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省工商联</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西安市新城区西新街22号院民主党派工商联办公楼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029-89373609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左建强、王力、程钰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本采购项目成交价为基数，参照国家计委关于印发《招标代理服务收费管理暂行办法》的通知（计价格[2002]1980号）和发改办价格[2003]857号规定，由成交人在领取成交通知书时向代理机构缴纳代理服务费。招标代理服务费采用现金、电汇或银行转账方式交纳，不得采用磋商保证金抵扣。（开户名称：陕西教育招标有限责任公司、开户银行：中 国光大银行陕西自贸试验区西安唐延路支行、账号：78580188000058925、银行行号：303791000136，财务电话：029-88224928）。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省工商联</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省工商联</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省工商联</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项目完成，供应商按约定完成所有服务，且服务质量无争议，视为验收合格。验收依据：合同文本，磋商文件，磋商响应文件，国内相应标准、规范。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联系人：左建强 程钰</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为2025民营经济创新发展大会暨知名民企助力陕西高质量发展大会提供保障服务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2,840,000.00</w:t>
      </w:r>
    </w:p>
    <w:p>
      <w:pPr>
        <w:pStyle w:val="null3"/>
      </w:pPr>
      <w:r>
        <w:rPr>
          <w:rFonts w:ascii="仿宋_GB2312" w:hAnsi="仿宋_GB2312" w:cs="仿宋_GB2312" w:eastAsia="仿宋_GB2312"/>
        </w:rPr>
        <w:t>采购包最高限价（元）: 2,840,000.00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会议保障服务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标的名称：会议保障服务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为汇聚创新动能，推动民营经济迈上新台阶，谱写陕西高质量发展新篇章，我省计划在陕西宾馆召开2025民营经济创新发展大会暨知名民企助力陕西高质量发展大会，预计参会人员750人（含工作人员50人），会期3天（包含考察1天）。本项目采购内容为2025民营经济创新发展大会暨知名民企助力陕西高质量发展大会服务项目；服务期限为自合同签订之日起至会议结束。</w:t>
            </w:r>
          </w:p>
          <w:p>
            <w:pPr>
              <w:pStyle w:val="null3"/>
              <w:ind w:firstLine="420"/>
              <w:jc w:val="both"/>
            </w:pPr>
            <w:r>
              <w:rPr>
                <w:rFonts w:ascii="仿宋_GB2312" w:hAnsi="仿宋_GB2312" w:cs="仿宋_GB2312" w:eastAsia="仿宋_GB2312"/>
                <w:sz w:val="21"/>
              </w:rPr>
              <w:t>二、服务需求及要求</w:t>
            </w:r>
          </w:p>
          <w:p>
            <w:pPr>
              <w:pStyle w:val="null3"/>
              <w:ind w:firstLine="420"/>
              <w:jc w:val="both"/>
            </w:pPr>
            <w:r>
              <w:rPr>
                <w:rFonts w:ascii="仿宋_GB2312" w:hAnsi="仿宋_GB2312" w:cs="仿宋_GB2312" w:eastAsia="仿宋_GB2312"/>
                <w:sz w:val="21"/>
              </w:rPr>
              <w:t>根据采购人安排，协助完成</w:t>
            </w:r>
            <w:r>
              <w:rPr>
                <w:rFonts w:ascii="仿宋_GB2312" w:hAnsi="仿宋_GB2312" w:cs="仿宋_GB2312" w:eastAsia="仿宋_GB2312"/>
                <w:sz w:val="21"/>
              </w:rPr>
              <w:t>2025</w:t>
            </w:r>
            <w:r>
              <w:rPr>
                <w:rFonts w:ascii="仿宋_GB2312" w:hAnsi="仿宋_GB2312" w:cs="仿宋_GB2312" w:eastAsia="仿宋_GB2312"/>
                <w:sz w:val="21"/>
              </w:rPr>
              <w:t>民营经济创新发展大会暨知名民企助力陕西高质量发展大会的</w:t>
            </w:r>
            <w:r>
              <w:rPr>
                <w:rFonts w:ascii="仿宋_GB2312" w:hAnsi="仿宋_GB2312" w:cs="仿宋_GB2312" w:eastAsia="仿宋_GB2312"/>
                <w:sz w:val="21"/>
              </w:rPr>
              <w:t>会议接待、会议保障、</w:t>
            </w:r>
            <w:r>
              <w:rPr>
                <w:rFonts w:ascii="仿宋_GB2312" w:hAnsi="仿宋_GB2312" w:cs="仿宋_GB2312" w:eastAsia="仿宋_GB2312"/>
                <w:sz w:val="21"/>
              </w:rPr>
              <w:t>整体策划方案及整体进度管理工作，包含</w:t>
            </w:r>
            <w:r>
              <w:rPr>
                <w:rFonts w:ascii="仿宋_GB2312" w:hAnsi="仿宋_GB2312" w:cs="仿宋_GB2312" w:eastAsia="仿宋_GB2312"/>
                <w:sz w:val="21"/>
              </w:rPr>
              <w:t>会议接待、会议保障、</w:t>
            </w:r>
            <w:r>
              <w:rPr>
                <w:rFonts w:ascii="仿宋_GB2312" w:hAnsi="仿宋_GB2312" w:cs="仿宋_GB2312" w:eastAsia="仿宋_GB2312"/>
                <w:sz w:val="21"/>
              </w:rPr>
              <w:t>会议主题、会议流程、会议规划布局，执行时间表，人员安排等并协调做好大会各项后勤工作。编制会务手册、会议议程、成果汇编手册、典型案例手册等会务材料；配合采购人做好推介展板的管理工作；完成道旗、导视、指示牌、嘉宾证、工作证等证件的设计制作发放，最大化提升会议运行效率。</w:t>
            </w:r>
          </w:p>
          <w:p>
            <w:pPr>
              <w:pStyle w:val="null3"/>
              <w:ind w:firstLine="420"/>
              <w:jc w:val="both"/>
            </w:pPr>
            <w:r>
              <w:rPr>
                <w:rFonts w:ascii="仿宋_GB2312" w:hAnsi="仿宋_GB2312" w:cs="仿宋_GB2312" w:eastAsia="仿宋_GB2312"/>
                <w:sz w:val="21"/>
              </w:rPr>
              <w:t>（一）会议接待</w:t>
            </w:r>
          </w:p>
          <w:p>
            <w:pPr>
              <w:pStyle w:val="null3"/>
              <w:ind w:firstLine="420"/>
              <w:jc w:val="both"/>
            </w:pPr>
            <w:r>
              <w:rPr>
                <w:rFonts w:ascii="仿宋_GB2312" w:hAnsi="仿宋_GB2312" w:cs="仿宋_GB2312" w:eastAsia="仿宋_GB2312"/>
                <w:sz w:val="21"/>
              </w:rPr>
              <w:t>配合完成重要嘉宾和重要企业的接待工作，完成参会人员餐饮（约750人、3天）、参会人员住宿（约500间，3天）及会务用车，嘉宾接送等会务所需各项接待服务；。餐食及住宿标准按国家相关规定执行；会务用车需根据会议整体要求进行统一管理，并办理相关车辆通行证。</w:t>
            </w:r>
          </w:p>
          <w:p>
            <w:pPr>
              <w:pStyle w:val="null3"/>
              <w:ind w:firstLine="420"/>
              <w:jc w:val="both"/>
            </w:pPr>
            <w:r>
              <w:rPr>
                <w:rFonts w:ascii="仿宋_GB2312" w:hAnsi="仿宋_GB2312" w:cs="仿宋_GB2312" w:eastAsia="仿宋_GB2312"/>
                <w:sz w:val="21"/>
              </w:rPr>
              <w:t>（二）会议保障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会场租赁：需同时容纳约700人，另配置休息厅、重要嘉宾会见等。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人员配备：供应商应配备足够的项目服务团队，包括但不限于执行人员、志愿者、会议保障人员（公安、消防、医疗、食药监等安全保障人）等，。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志愿者保障：大会期间组织安排志愿者，负责提供志愿者往返接送、用餐等服务。</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会议保障人员保障：公安、消防、医疗、食药监等安全保障人员住宿、用餐及保障用品。</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会务服务：提供大会期间包括会务人员、工作人员、接待车辆等相关人员的住宿、用餐、交通等服务。</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安检服务：包括但不限于门禁、安检机、手持安检探测器等设备，配备足够安检人员。</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其他服务：完成会务所需其他工作。</w:t>
            </w:r>
          </w:p>
          <w:p>
            <w:pPr>
              <w:pStyle w:val="null3"/>
              <w:ind w:firstLine="420"/>
              <w:jc w:val="both"/>
            </w:pPr>
            <w:r>
              <w:rPr>
                <w:rFonts w:ascii="仿宋_GB2312" w:hAnsi="仿宋_GB2312" w:cs="仿宋_GB2312" w:eastAsia="仿宋_GB2312"/>
                <w:sz w:val="21"/>
              </w:rPr>
              <w:t>（三）考察保障</w:t>
            </w:r>
          </w:p>
          <w:p>
            <w:pPr>
              <w:pStyle w:val="null3"/>
              <w:ind w:firstLine="420"/>
              <w:jc w:val="both"/>
            </w:pPr>
            <w:r>
              <w:rPr>
                <w:rFonts w:ascii="仿宋_GB2312" w:hAnsi="仿宋_GB2312" w:cs="仿宋_GB2312" w:eastAsia="仿宋_GB2312"/>
                <w:sz w:val="21"/>
              </w:rPr>
              <w:t>供应商需提前踩点并合理规划2-3条考察路线，预计考察时间为半天。提供相应的保险、物资、医疗包等保障服务。提供考察用车，车型包含大巴车、考斯特。提供随车讲解。</w:t>
            </w:r>
          </w:p>
          <w:p>
            <w:pPr>
              <w:pStyle w:val="null3"/>
              <w:ind w:firstLine="420"/>
              <w:jc w:val="both"/>
            </w:pPr>
            <w:r>
              <w:rPr>
                <w:rFonts w:ascii="仿宋_GB2312" w:hAnsi="仿宋_GB2312" w:cs="仿宋_GB2312" w:eastAsia="仿宋_GB2312"/>
                <w:sz w:val="21"/>
              </w:rPr>
              <w:t>（四）会务系统开发</w:t>
            </w:r>
          </w:p>
          <w:p>
            <w:pPr>
              <w:pStyle w:val="null3"/>
              <w:ind w:firstLine="420"/>
              <w:jc w:val="both"/>
            </w:pPr>
            <w:r>
              <w:rPr>
                <w:rFonts w:ascii="仿宋_GB2312" w:hAnsi="仿宋_GB2312" w:cs="仿宋_GB2312" w:eastAsia="仿宋_GB2312"/>
                <w:sz w:val="21"/>
              </w:rPr>
              <w:t>充分运用信息化手段开发本次大会会务系统，含会议报名、会议信息、座位查询等功能，实现“一站式”电子会务手册。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）会场设计及布置</w:t>
            </w:r>
          </w:p>
          <w:p>
            <w:pPr>
              <w:pStyle w:val="null3"/>
              <w:ind w:firstLine="420"/>
              <w:jc w:val="both"/>
            </w:pPr>
            <w:r>
              <w:rPr>
                <w:rFonts w:ascii="仿宋_GB2312" w:hAnsi="仿宋_GB2312" w:cs="仿宋_GB2312" w:eastAsia="仿宋_GB2312"/>
                <w:sz w:val="21"/>
              </w:rPr>
              <w:t>大会会场、休息厅、会见厅以及采访间的设计布置搭建。</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设计方案：供应商应提供主</w:t>
            </w:r>
            <w:r>
              <w:rPr>
                <w:rFonts w:ascii="仿宋_GB2312" w:hAnsi="仿宋_GB2312" w:cs="仿宋_GB2312" w:eastAsia="仿宋_GB2312"/>
                <w:sz w:val="21"/>
              </w:rPr>
              <w:t>kv</w:t>
            </w:r>
            <w:r>
              <w:rPr>
                <w:rFonts w:ascii="仿宋_GB2312" w:hAnsi="仿宋_GB2312" w:cs="仿宋_GB2312" w:eastAsia="仿宋_GB2312"/>
                <w:sz w:val="21"/>
              </w:rPr>
              <w:t>、外场氛围、各类手册等大会相关全部宣传引导及物料的设计。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外场布置：包括但不限于迎宾道旗、标识牌、桁架等。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内场布置：包括但不限于签到处、导视标牌、推介展等。</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舞台舞美：包括舞台、</w:t>
            </w:r>
            <w:r>
              <w:rPr>
                <w:rFonts w:ascii="仿宋_GB2312" w:hAnsi="仿宋_GB2312" w:cs="仿宋_GB2312" w:eastAsia="仿宋_GB2312"/>
                <w:sz w:val="21"/>
              </w:rPr>
              <w:t>LED</w:t>
            </w:r>
            <w:r>
              <w:rPr>
                <w:rFonts w:ascii="仿宋_GB2312" w:hAnsi="仿宋_GB2312" w:cs="仿宋_GB2312" w:eastAsia="仿宋_GB2312"/>
                <w:sz w:val="21"/>
              </w:rPr>
              <w:t>显示屏及其配套设备、舞台灯光、音响、照明系统的设计、搭建、拆除、运输。</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）视频视效制作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大会环节视频制作：暖场视频、成果发布环节视频制作包装；</w:t>
            </w:r>
          </w:p>
          <w:p>
            <w:pPr>
              <w:pStyle w:val="null3"/>
              <w:ind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根据各展示环节，制作大屏展示画面、动态视效等。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上述设计应围绕大会主题及我省省情进行，内容合法合规，设计符合规范，无知识产权纠纷。</w:t>
            </w:r>
          </w:p>
          <w:p>
            <w:pPr>
              <w:pStyle w:val="null3"/>
              <w:ind w:firstLine="420"/>
              <w:jc w:val="both"/>
            </w:pPr>
            <w:r>
              <w:rPr>
                <w:rFonts w:ascii="仿宋_GB2312" w:hAnsi="仿宋_GB2312" w:cs="仿宋_GB2312" w:eastAsia="仿宋_GB2312"/>
                <w:sz w:val="21"/>
              </w:rPr>
              <w:t>（七）全程摄影摄像</w:t>
            </w:r>
          </w:p>
          <w:p>
            <w:pPr>
              <w:pStyle w:val="null3"/>
              <w:ind w:firstLine="420"/>
              <w:jc w:val="both"/>
            </w:pPr>
            <w:r>
              <w:rPr>
                <w:rFonts w:ascii="仿宋_GB2312" w:hAnsi="仿宋_GB2312" w:cs="仿宋_GB2312" w:eastAsia="仿宋_GB2312"/>
                <w:sz w:val="21"/>
              </w:rPr>
              <w:t>大会现场全程实况录制、现场照片拍摄，招商引资推介会全程实况录制、现场照片拍摄，提供转播车及相关设备。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）物料及用品</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大会物料：本次大会所需手提袋、会议专用笔记本（含</w:t>
            </w:r>
            <w:r>
              <w:rPr>
                <w:rFonts w:ascii="仿宋_GB2312" w:hAnsi="仿宋_GB2312" w:cs="仿宋_GB2312" w:eastAsia="仿宋_GB2312"/>
                <w:sz w:val="21"/>
              </w:rPr>
              <w:t>1</w:t>
            </w:r>
            <w:r>
              <w:rPr>
                <w:rFonts w:ascii="仿宋_GB2312" w:hAnsi="仿宋_GB2312" w:cs="仿宋_GB2312" w:eastAsia="仿宋_GB2312"/>
                <w:sz w:val="21"/>
              </w:rPr>
              <w:t>支笔）。</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会务物料：车贴、椅背贴、车辆通行证等会务物料。</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保障用品：大会筹备期间至大会结束所需的办公设施设备及用品、相关保障用品等均由供应商提供。</w:t>
            </w:r>
          </w:p>
          <w:p>
            <w:pPr>
              <w:pStyle w:val="null3"/>
              <w:ind w:firstLine="420"/>
              <w:jc w:val="both"/>
            </w:pPr>
            <w:r>
              <w:rPr>
                <w:rFonts w:ascii="仿宋_GB2312" w:hAnsi="仿宋_GB2312" w:cs="仿宋_GB2312" w:eastAsia="仿宋_GB2312"/>
                <w:sz w:val="21"/>
              </w:rPr>
              <w:t>三、其他要求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供应商承诺按照采购人提出的意见优化工作方案，且按照各分项活动节点时限要求完成布置搭建和按采购人验收意见调整优化等所有工作。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活动结束后项目的清拆、撤场等工作。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报价费用包含但不限于</w:t>
            </w:r>
            <w:r>
              <w:rPr>
                <w:rFonts w:ascii="仿宋_GB2312" w:hAnsi="仿宋_GB2312" w:cs="仿宋_GB2312" w:eastAsia="仿宋_GB2312"/>
                <w:sz w:val="21"/>
              </w:rPr>
              <w:t>会议接待、会议保障、考察、会务系统、接待</w:t>
            </w:r>
            <w:r>
              <w:rPr>
                <w:rFonts w:ascii="仿宋_GB2312" w:hAnsi="仿宋_GB2312" w:cs="仿宋_GB2312" w:eastAsia="仿宋_GB2312"/>
                <w:sz w:val="21"/>
              </w:rPr>
              <w:t>设计策划费、现场搭建、设备租赁、材料、人工、运输、安全措施、文明施工、管理、税费等其他</w:t>
            </w:r>
            <w:r>
              <w:rPr>
                <w:rFonts w:ascii="仿宋_GB2312" w:hAnsi="仿宋_GB2312" w:cs="仿宋_GB2312" w:eastAsia="仿宋_GB2312"/>
                <w:sz w:val="21"/>
              </w:rPr>
              <w:t>与项目执行有关的</w:t>
            </w:r>
            <w:r>
              <w:rPr>
                <w:rFonts w:ascii="仿宋_GB2312" w:hAnsi="仿宋_GB2312" w:cs="仿宋_GB2312" w:eastAsia="仿宋_GB2312"/>
                <w:sz w:val="21"/>
              </w:rPr>
              <w:t>所有服务费用。</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服务期限为自合同签订之日起至会议结束。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项目地点及其他采购人指定地点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项目完成，供应商按约定完成所有服务，且服务质量无争议，视为验收合格。验收依据：合同文本，磋商文件，磋商响应文件，国内相应标准、规范。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满足政府采购法第二十二条及特殊资格证明材料(1).docx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满足政府采购法第二十二条及特殊资格证明材料(1).docx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提供经审计的2024年度的财务报告或提交磋商响应文件截止时间前十二个月银行资信证明；或政府采购信用担保机构出具的投标担保函。</w:t>
            </w:r>
          </w:p>
        </w:tc>
        <w:tc>
          <w:tcPr>
            <w:tcW w:type="dxa" w:w="1661"/>
          </w:tcPr>
          <w:p>
            <w:pPr>
              <w:pStyle w:val="null3"/>
            </w:pPr>
            <w:r>
              <w:rPr>
                <w:rFonts w:ascii="仿宋_GB2312" w:hAnsi="仿宋_GB2312" w:cs="仿宋_GB2312" w:eastAsia="仿宋_GB2312"/>
              </w:rPr>
              <w:t>满足政府采购法第二十二条及特殊资格证明材料(1).docx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提供磋商响应文件递交截止时间近十二个月内至少一个月已缴纳的纳税凭据或完税证明；依法免税的供应商应提供相关文件证明。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满足政府采购法第二十二条及特殊资格证明材料(1).docx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满足政府采购法第二十二条及特殊资格证明材料(1).docx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提供供应商拒绝政府采购领域商业贿赂承诺书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响应情况</w:t>
            </w:r>
          </w:p>
        </w:tc>
        <w:tc>
          <w:tcPr>
            <w:tcW w:type="dxa" w:w="2492"/>
          </w:tcPr>
          <w:p>
            <w:pPr>
              <w:pStyle w:val="null3"/>
            </w:pPr>
            <w:r>
              <w:rPr>
                <w:rFonts w:ascii="仿宋_GB2312" w:hAnsi="仿宋_GB2312" w:cs="仿宋_GB2312" w:eastAsia="仿宋_GB2312"/>
              </w:rPr>
              <w:t>根据供应商对“3.2.2服务要求 技术参数与性能指标”的响应情况赋分。 完全响应得6分，存在负偏离得0分。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会议接待方案</w:t>
            </w:r>
          </w:p>
        </w:tc>
        <w:tc>
          <w:tcPr>
            <w:tcW w:type="dxa" w:w="2492"/>
          </w:tcPr>
          <w:p>
            <w:pPr>
              <w:pStyle w:val="null3"/>
            </w:pPr>
            <w:r>
              <w:rPr>
                <w:rFonts w:ascii="仿宋_GB2312" w:hAnsi="仿宋_GB2312" w:cs="仿宋_GB2312" w:eastAsia="仿宋_GB2312"/>
              </w:rPr>
              <w:t>供应商应根据3.2.2服务要求 技术参数与性能指标中“（一）会议接待”的要求，提供会议接待方案，方案包括以下四项内容：1.嘉宾接待流程；2.会务用车方案；3.住宿方案；4.餐饮方案。 一、评审标准 1、完整性：方案内容全面，方案中对服务内容中的各项要求有详细描述； 2、合理性：切合本项目实际情况，安排合理，便利。 3、规范性：方案设计与大会规模向匹配，符合相关规定。 二、赋分标准（满分12分） 共4项内容，每项内容满分3分，按照“评审标准”，每项内容完全满足一项评审标准得1分，存在瑕疵得0.5分，存在缺陷得0分。 备注:瑕疵是指内容完整性不完整、专业性及科学性不足、可行性不高、虽有完整性内容但内容表述前后不一致，与项目需求不匹配及其他不利于项目实施的等任意一种情形。缺陷是指内容存在重大漏洞，严重影响项目实施或方案过于简单，不满足或无法判断是否满足评审标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会场保障方案</w:t>
            </w:r>
          </w:p>
        </w:tc>
        <w:tc>
          <w:tcPr>
            <w:tcW w:type="dxa" w:w="2492"/>
          </w:tcPr>
          <w:p>
            <w:pPr>
              <w:pStyle w:val="null3"/>
            </w:pPr>
            <w:r>
              <w:rPr>
                <w:rFonts w:ascii="仿宋_GB2312" w:hAnsi="仿宋_GB2312" w:cs="仿宋_GB2312" w:eastAsia="仿宋_GB2312"/>
              </w:rPr>
              <w:t>供应商提供会场租赁方案，会场容量满足项目需求，休息厅、重要嘉宾会见以与会场配套、满足项目需求，位置设置合理，得8分。 会场容量满足项目需求，休息厅、重要嘉宾会见等满足项目需求，但安排不够合理，得5分。 会场容量不满足项目需求，休息厅、重要嘉宾会见不配套，得0分。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1.执行团队数量≥30人，得5分；25（含）-30人，得3分；20（含）-25人，得1分；＜20人，得0分。 2.志愿者团队数量≥40人.得5分；30（含）-40人，得3分；20（含）-30人，得1分；＜20人，得0分。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安检</w:t>
            </w:r>
          </w:p>
        </w:tc>
        <w:tc>
          <w:tcPr>
            <w:tcW w:type="dxa" w:w="2492"/>
          </w:tcPr>
          <w:p>
            <w:pPr>
              <w:pStyle w:val="null3"/>
            </w:pPr>
            <w:r>
              <w:rPr>
                <w:rFonts w:ascii="仿宋_GB2312" w:hAnsi="仿宋_GB2312" w:cs="仿宋_GB2312" w:eastAsia="仿宋_GB2312"/>
              </w:rPr>
              <w:t>设备符合项目需求，安全可靠，人员配备完整，得3分。 设备及人员基本满足项目需求，得2分。 设备及人员配备简单，得1分。 未提供相关方案得0分。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考察服务方案</w:t>
            </w:r>
          </w:p>
        </w:tc>
        <w:tc>
          <w:tcPr>
            <w:tcW w:type="dxa" w:w="2492"/>
          </w:tcPr>
          <w:p>
            <w:pPr>
              <w:pStyle w:val="null3"/>
            </w:pPr>
            <w:r>
              <w:rPr>
                <w:rFonts w:ascii="仿宋_GB2312" w:hAnsi="仿宋_GB2312" w:cs="仿宋_GB2312" w:eastAsia="仿宋_GB2312"/>
              </w:rPr>
              <w:t>供应商应根据3.2.2服务要求 技术参数与性能指标中“（三）考察保障”的要求，提供考察服务方案，方案包括以下三项内容：1.整理安排，；2.路线设计思路3.交通、食宿、物资保障方案。 一、评审标准 1、完整性：方案内容全面，方案中对服务内容中的各项要求有详细描述； 2、合理性：切合本项目实际情况，安排合理，便利。 3、规范性：方案设计与大会规模向匹配，符合相关规定。 二、赋分标准（满分9分） 共3项内容，每项内容满分3分，按照“评审标准”，每项内容完全满足一项评审标准得1分，存在瑕疵得0.5分，存在缺陷得0分。 备注:瑕疵是指内容完整性不完整、专业性及科学性不足、可行性不高、虽有完整性内容但内容表述前后不一致，与项目需求不匹配及其他不利于项目实施的等任意一种情形。缺陷是指内容存在重大漏洞，严重影响项目实施或方案过于简单，不满足或无法判断是否满足评审标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会务系统开发</w:t>
            </w:r>
          </w:p>
        </w:tc>
        <w:tc>
          <w:tcPr>
            <w:tcW w:type="dxa" w:w="2492"/>
          </w:tcPr>
          <w:p>
            <w:pPr>
              <w:pStyle w:val="null3"/>
            </w:pPr>
            <w:r>
              <w:rPr>
                <w:rFonts w:ascii="仿宋_GB2312" w:hAnsi="仿宋_GB2312" w:cs="仿宋_GB2312" w:eastAsia="仿宋_GB2312"/>
              </w:rPr>
              <w:t>功能完全能满足项目需求，技术架构清晰，提供详细进度计划，能提供相关证明材料（如操作界面截图等），得3分。 功能满足项目需求，技术架构基本合理，有进度计划但分解不细，能提供相关证明材料（如操作界面截图等）2分。 功能基本满足项目需求，但无证明材料，1分。 未提供相关描述或承诺，0分。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会场设计及布置</w:t>
            </w:r>
          </w:p>
        </w:tc>
        <w:tc>
          <w:tcPr>
            <w:tcW w:type="dxa" w:w="2492"/>
          </w:tcPr>
          <w:p>
            <w:pPr>
              <w:pStyle w:val="null3"/>
            </w:pPr>
            <w:r>
              <w:rPr>
                <w:rFonts w:ascii="仿宋_GB2312" w:hAnsi="仿宋_GB2312" w:cs="仿宋_GB2312" w:eastAsia="仿宋_GB2312"/>
              </w:rPr>
              <w:t>供应商应根据3.2.2服务要求 技术参数与性能指标中“会场设计及布置”得要求，提供会场设计及布置方案，方案包括以下3项内容：1.设计方案，2.内、外场布置，3.舞台舞美 一、评审标准 1、完整性：方案内容全面，方案中对服务内容中的各项要求有详细描述，并提供设计效果图（布局图）； 2、专业性：切合本项目实际情况，设计风格统一、新颖美观、主题明确、所以材料/设备质量安全可靠。 3、可行性：方案可做到及时落地，与项目空间时间相匹配。 二、赋分标准（满分9分） 共3项内容，每项内容满分3分，按照“评审标准”，每项内容完全满足一项评审标准得1分，存在瑕疵得0.5分，存在缺陷得0分。 备注:瑕疵是指内容完整性不完整、专业性及科学性不足、可行性不高、虽有完整性内容但内容表述前后不一致，与项目需求不匹配及其他不利于项目实施的等任意一种情形。缺陷是指内容存在重大漏洞，严重影响项目实施或方案过于简单，不满足或无法判断是否满足评审标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视频视效制作</w:t>
            </w:r>
          </w:p>
        </w:tc>
        <w:tc>
          <w:tcPr>
            <w:tcW w:type="dxa" w:w="2492"/>
          </w:tcPr>
          <w:p>
            <w:pPr>
              <w:pStyle w:val="null3"/>
            </w:pPr>
            <w:r>
              <w:rPr>
                <w:rFonts w:ascii="仿宋_GB2312" w:hAnsi="仿宋_GB2312" w:cs="仿宋_GB2312" w:eastAsia="仿宋_GB2312"/>
              </w:rPr>
              <w:t>供应商应根据3.2.2服务要求 技术参数与性能指标中“视频视效制作”的要求，提供方案，方案包括以下两项内容：1.暖场视频、成果发布环节视频制作包装；2.各展示环节，大屏展示画面、动态视效设计与制作。 一、评审标准 1、完整性：方案内容全面，方案对服务内容中的各项要求有详细描述； 2、合理性：切合本项目实际情况，围绕大会主题及我省省情进行。 3、专业性：设计风格统一、新颖美观、主题明确。 4、效果：信息传递高效，视觉效果好，有效提升观感。 二、赋分标准（满分8分） 共2项内容，每项内容满分4分。 按照“评审标准”，每项内容完全满足一项评审标准得1分，存在瑕疵得0.5分，存在缺陷得0分。 备注:瑕疵是指内容完整性不完整、专业性及科学性不足、可行性不高、虽有完整性内容但内容表述前后不一致，与项目需求不匹配及其他不利于项目实施的等任意一种情形。缺陷是指内容存在重大漏洞，严重影响项目实施或方案过于简单，无法判断是否满足评审标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物料及用品配备</w:t>
            </w:r>
          </w:p>
        </w:tc>
        <w:tc>
          <w:tcPr>
            <w:tcW w:type="dxa" w:w="2492"/>
          </w:tcPr>
          <w:p>
            <w:pPr>
              <w:pStyle w:val="null3"/>
            </w:pPr>
            <w:r>
              <w:rPr>
                <w:rFonts w:ascii="仿宋_GB2312" w:hAnsi="仿宋_GB2312" w:cs="仿宋_GB2312" w:eastAsia="仿宋_GB2312"/>
              </w:rPr>
              <w:t>供应商应根据3.2.2服务要求 技术参数与性能指标中“物料及用品”的要求，提供物料及用品方案，方案包括以下两项内容：1.物料及用品种类；2.数量。 1.提供物料及用品清单，清单没有重大缺陷（不满足已明确的采购需求），并承诺根据会议实际开展情况，按采购人要求补充会议所需物料，不额外增加费用。得5分，否则得0分。 2.提供暂估的物料及用品数量（满足已明确的采购需求），数量没有重大缺陷，并承诺根据会议实际开展情况，按采购人要求补足数量，不额外增加费用。得5分，否则得0分。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应急预案，预案应分析实施过程中可能出现紧急情况，并提出解决方案。内容完整，分析准确，解决方案科学，得6分。存在瑕疵，每处扣1分，最多扣5分（瑕疵是指出内容有不合理、不严谨、不完全适配本项目、逻辑混乱、无可操作性的情况）。不提供方案，本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供应商近2022年1月1日以来承担的同类项目业绩，以合同为准，每个业绩2分，满分6分。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 Pn 其中：Pmin：所有有效报价的最低价。 Pn：第n个投标人的最终报价。 计算分数时四舍五入取小数点后两位。 评标委员会认为投标人的报价明显低于其他通过符合性审查投标人的报价，有可能影响服务质量或者不能诚信履约的，应当要求其在评审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详见附件：满足政府采购法第二十二条及特殊资格证明材料(1).docx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