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版本号：XBMH2025-26820250911001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安全韧性工程咨询审查服务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XBMH2025-268</w:t>
      </w:r>
      <w:r>
        <w:br/>
      </w:r>
      <w:r>
        <w:br/>
      </w:r>
      <w:r>
        <w:br/>
      </w:r>
    </w:p>
    <w:p>
      <w:pPr>
        <w:pStyle w:val="null3"/>
        <w:jc w:val="center"/>
        <w:outlineLvl w:val="2"/>
      </w:pPr>
      <w:r>
        <w:rPr>
          <w:rFonts w:ascii="仿宋_GB2312" w:hAnsi="仿宋_GB2312" w:cs="仿宋_GB2312" w:eastAsia="仿宋_GB2312"/>
          <w:sz w:val="28"/>
          <w:b/>
        </w:rPr>
        <w:t>陕西省交通运输厅机关</w:t>
      </w:r>
    </w:p>
    <w:p>
      <w:pPr>
        <w:pStyle w:val="null3"/>
        <w:jc w:val="center"/>
        <w:outlineLvl w:val="2"/>
      </w:pPr>
      <w:r>
        <w:rPr>
          <w:rFonts w:ascii="仿宋_GB2312" w:hAnsi="仿宋_GB2312" w:cs="仿宋_GB2312" w:eastAsia="仿宋_GB2312"/>
          <w:sz w:val="28"/>
          <w:b/>
        </w:rPr>
        <w:t>陕西西北民航工程咨询有限公司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陕西西北民航工程咨询有限公司</w:t>
      </w:r>
      <w:r>
        <w:rPr>
          <w:rFonts w:ascii="仿宋_GB2312" w:hAnsi="仿宋_GB2312" w:cs="仿宋_GB2312" w:eastAsia="仿宋_GB2312"/>
        </w:rPr>
        <w:t>（以下简称“代理机构”）受</w:t>
      </w:r>
      <w:r>
        <w:rPr>
          <w:rFonts w:ascii="仿宋_GB2312" w:hAnsi="仿宋_GB2312" w:cs="仿宋_GB2312" w:eastAsia="仿宋_GB2312"/>
        </w:rPr>
        <w:t>陕西省交通运输厅机关</w:t>
      </w:r>
      <w:r>
        <w:rPr>
          <w:rFonts w:ascii="仿宋_GB2312" w:hAnsi="仿宋_GB2312" w:cs="仿宋_GB2312" w:eastAsia="仿宋_GB2312"/>
        </w:rPr>
        <w:t>委托，拟对</w:t>
      </w:r>
      <w:r>
        <w:rPr>
          <w:rFonts w:ascii="仿宋_GB2312" w:hAnsi="仿宋_GB2312" w:cs="仿宋_GB2312" w:eastAsia="仿宋_GB2312"/>
        </w:rPr>
        <w:t>安全韧性工程咨询审查服务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XBMH2025-268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安全韧性工程咨询审查服务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2025年度高速公路安全韧性提升项目设计咨询（评估）审查服务，具体内容详见磋商文件。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1、主体资格证明文件：供应商合法注册的法人或其他组织的营业执照等证明文件或自然人的身份证明</w:t>
      </w:r>
    </w:p>
    <w:p>
      <w:pPr>
        <w:pStyle w:val="null3"/>
      </w:pPr>
      <w:r>
        <w:rPr>
          <w:rFonts w:ascii="仿宋_GB2312" w:hAnsi="仿宋_GB2312" w:cs="仿宋_GB2312" w:eastAsia="仿宋_GB2312"/>
        </w:rPr>
        <w:t>2、财务状况报告：提供具有经审计资质单位出具的2024年度财务报告或供应商开标日前6个月内基本存款账户银行出具的资信证明（附基本存款账户开户许可证或加盖银行章的基本存款账户信息）。</w:t>
      </w:r>
    </w:p>
    <w:p>
      <w:pPr>
        <w:pStyle w:val="null3"/>
      </w:pPr>
      <w:r>
        <w:rPr>
          <w:rFonts w:ascii="仿宋_GB2312" w:hAnsi="仿宋_GB2312" w:cs="仿宋_GB2312" w:eastAsia="仿宋_GB2312"/>
        </w:rPr>
        <w:t>3、依法缴纳税收和社会保障资金：提供开标截止时间前6个月内任意时段已缴纳的纳税证明或完税证明和已缴存的社会保障资金缴费证明或参保证明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4、具有履行本合同所必需的设备和专业技术能力的书面声明：提供具有履行本合同所必需的设备和专业技术能力的书面声明</w:t>
      </w:r>
    </w:p>
    <w:p>
      <w:pPr>
        <w:pStyle w:val="null3"/>
      </w:pPr>
      <w:r>
        <w:rPr>
          <w:rFonts w:ascii="仿宋_GB2312" w:hAnsi="仿宋_GB2312" w:cs="仿宋_GB2312" w:eastAsia="仿宋_GB2312"/>
        </w:rPr>
        <w:t>5、无重大违法记录的书面声明：提供参加政府采购活动前3年内在经营活动中没有重大违法记录的书面声明</w:t>
      </w:r>
    </w:p>
    <w:p>
      <w:pPr>
        <w:pStyle w:val="null3"/>
      </w:pPr>
      <w:r>
        <w:rPr>
          <w:rFonts w:ascii="仿宋_GB2312" w:hAnsi="仿宋_GB2312" w:cs="仿宋_GB2312" w:eastAsia="仿宋_GB2312"/>
        </w:rPr>
        <w:t>6、法定代表人身份证明或法定代表人授权委托书：法定代表人直接参加投标的，须提供法定代表人身份证明（法人身份证原件备查）；法定代表人授权代表参加投标的，须提供法定代表人授权委托书（授权代表身份证原件备查）</w:t>
      </w:r>
    </w:p>
    <w:p>
      <w:pPr>
        <w:pStyle w:val="null3"/>
      </w:pPr>
      <w:r>
        <w:rPr>
          <w:rFonts w:ascii="仿宋_GB2312" w:hAnsi="仿宋_GB2312" w:cs="仿宋_GB2312" w:eastAsia="仿宋_GB2312"/>
        </w:rPr>
        <w:t>7、供应商关联关系声明：供应商关联关系声明，包括：①控股管理关系（不得与采购人、项目法人单位、采购代理机构或参加本项目的其他供应商单位负责人为同一人或者存在直接控股、管理关系）；②未为本项目提供整体设计、规范编制（双院制咨询审查单位）或者项目管理、监理、检测等服务；③不得为本合同包各项目的投资人、项目法人单位；④不得为合同包的采购代理机构；</w:t>
      </w:r>
    </w:p>
    <w:p>
      <w:pPr>
        <w:pStyle w:val="null3"/>
      </w:pPr>
      <w:r>
        <w:rPr>
          <w:rFonts w:ascii="仿宋_GB2312" w:hAnsi="仿宋_GB2312" w:cs="仿宋_GB2312" w:eastAsia="仿宋_GB2312"/>
        </w:rPr>
        <w:t>8、供应商信用信息查询：①未被列入“信用中国”网站（www.creditchina.gov.cn/）中“失信被执行人”和“重大税收违法失信主体”当事人名单；②不处于中国政府采购网（www.ccgp.gov.cn/)“政府采购严重违法失信行为记录名单”中的禁止参加政府采购活动期间；③未被“全国公路建设市场信用信息管理系统”（https://glxy.mot.gov.cn/）列入“不良行为记录”；④未被列入国家企业信用信息公示系统（www.gsxt.gov.cn/）列入“严重违法失信名单”；⑤供应商在近三年内未有行贿犯罪行为（以中国裁判文书网查询结果为准）</w:t>
      </w:r>
    </w:p>
    <w:p>
      <w:pPr>
        <w:pStyle w:val="null3"/>
      </w:pPr>
      <w:r>
        <w:rPr>
          <w:rFonts w:ascii="仿宋_GB2312" w:hAnsi="仿宋_GB2312" w:cs="仿宋_GB2312" w:eastAsia="仿宋_GB2312"/>
        </w:rPr>
        <w:t>9、全国投资项目在线审批监管平台查询：供应商应进入“全国投资项目在线审批监管平台”中的工程咨询单位名录，且备案咨询专业和服务范围包括“公路专业评估咨询”，且供应商名称与该名录中的相应企业名称完全一致。</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陕西省交通运输厅机关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曹女士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029-88869152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陕西西北民航工程咨询有限公司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陕西省西安市雁塔区陕西省西安市高新区唐延路3号唐延国际中心AB座8层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佘冰霞、张恒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029-88347987-8046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采购包1：1,562,000.00元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说明：中标人在本合同签订前向采购人指定账户交纳履约保证金，为本合同总价款的5%，服务期限届满后，在扣除相应款项（若有）后，剩余部分无息返还。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代理服务费收费标准：1.参照《国家计委关于印发&lt;招标代理服务收费管理暂行办法&gt;的通知》 （计价格【2002】1980号）及《国家发改委关于降低部分建设项目收费标准规范收费行为等有关问题的通知》（发改价格[2011]534号）规定标准的 80% 收取。取费基数：单标段中标金额 2.银行户名：陕西西北民航工程咨询有限公司 开户行名称：中国建设银行股份有限公司西安高新科技支行 行 号：105791011313 账 号：61001925700052502533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陕西省交通运输厅机关</w:t>
      </w:r>
      <w:r>
        <w:rPr>
          <w:rFonts w:ascii="仿宋_GB2312" w:hAnsi="仿宋_GB2312" w:cs="仿宋_GB2312" w:eastAsia="仿宋_GB2312"/>
        </w:rPr>
        <w:t>和</w:t>
      </w:r>
      <w:r>
        <w:rPr>
          <w:rFonts w:ascii="仿宋_GB2312" w:hAnsi="仿宋_GB2312" w:cs="仿宋_GB2312" w:eastAsia="仿宋_GB2312"/>
        </w:rPr>
        <w:t>陕西西北民航工程咨询有限公司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陕西省交通运输厅机关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陕西西北民航工程咨询有限公司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陕西省交通运输厅机关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陕西西北民航工程咨询有限公司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陕西西北民航工程咨询有限公司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联系人：佘冰霞</w:t>
      </w:r>
    </w:p>
    <w:p>
      <w:pPr>
        <w:pStyle w:val="null3"/>
      </w:pPr>
      <w:r>
        <w:rPr>
          <w:rFonts w:ascii="仿宋_GB2312" w:hAnsi="仿宋_GB2312" w:cs="仿宋_GB2312" w:eastAsia="仿宋_GB2312"/>
        </w:rPr>
        <w:t>联系电话：029-88347987-8046</w:t>
      </w:r>
    </w:p>
    <w:p>
      <w:pPr>
        <w:pStyle w:val="null3"/>
      </w:pPr>
      <w:r>
        <w:rPr>
          <w:rFonts w:ascii="仿宋_GB2312" w:hAnsi="仿宋_GB2312" w:cs="仿宋_GB2312" w:eastAsia="仿宋_GB2312"/>
        </w:rPr>
        <w:t>地址：陕西省西安市唐延路3号唐延国际中心AB区8楼</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2025年度高速公路安全韧性提升项目设计咨询（评估）审查服务质量鉴定服务项目，具体内容详见磋商文件。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1,562,000.00</w:t>
      </w:r>
    </w:p>
    <w:p>
      <w:pPr>
        <w:pStyle w:val="null3"/>
      </w:pPr>
      <w:r>
        <w:rPr>
          <w:rFonts w:ascii="仿宋_GB2312" w:hAnsi="仿宋_GB2312" w:cs="仿宋_GB2312" w:eastAsia="仿宋_GB2312"/>
        </w:rPr>
        <w:t>采购包最高限价（元）: 1,562,000.00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安全韧性工程咨询审查服务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1,562,000.00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标的名称：安全韧性工程咨询审查服务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20"/>
              <w:jc w:val="left"/>
            </w:pPr>
            <w:r>
              <w:rPr>
                <w:rFonts w:ascii="仿宋_GB2312" w:hAnsi="仿宋_GB2312" w:cs="仿宋_GB2312" w:eastAsia="仿宋_GB2312"/>
                <w:sz w:val="21"/>
              </w:rPr>
              <w:t>（一）</w:t>
            </w:r>
            <w:r>
              <w:rPr>
                <w:rFonts w:ascii="仿宋_GB2312" w:hAnsi="仿宋_GB2312" w:cs="仿宋_GB2312" w:eastAsia="仿宋_GB2312"/>
                <w:sz w:val="21"/>
              </w:rPr>
              <w:t>G70福银高速西安至陕鄂界段安全韧性提升工程</w:t>
            </w:r>
          </w:p>
          <w:p>
            <w:pPr>
              <w:pStyle w:val="null3"/>
              <w:ind w:firstLine="420"/>
              <w:jc w:val="left"/>
            </w:pPr>
            <w:r>
              <w:rPr>
                <w:rFonts w:ascii="仿宋_GB2312" w:hAnsi="仿宋_GB2312" w:cs="仿宋_GB2312" w:eastAsia="仿宋_GB2312"/>
                <w:sz w:val="21"/>
              </w:rPr>
              <w:t>项目路线全长</w:t>
            </w:r>
            <w:r>
              <w:rPr>
                <w:rFonts w:ascii="仿宋_GB2312" w:hAnsi="仿宋_GB2312" w:cs="仿宋_GB2312" w:eastAsia="仿宋_GB2312"/>
                <w:sz w:val="21"/>
              </w:rPr>
              <w:t>157.48 公里，维持既有双向四车道高速公路技术标准。建设内容主要包含路基路面、桥涵、隧道、交通工程及沿线设施等公路安全韧性提升内容和制度体系建设。其中路线工点 1处(双幅）实施路基改桥、路基路面工点 117 处、桥梁工点 218 座(单幅)、隧道工点 24 座(双洞)、交通安全设施工程约 118.7 公里，同步完善安全风险管控制度体系。项目估算总金额 25.18亿元。</w:t>
            </w:r>
          </w:p>
          <w:p>
            <w:pPr>
              <w:pStyle w:val="null3"/>
              <w:ind w:firstLine="420"/>
              <w:jc w:val="left"/>
            </w:pPr>
            <w:r>
              <w:rPr>
                <w:rFonts w:ascii="仿宋_GB2312" w:hAnsi="仿宋_GB2312" w:cs="仿宋_GB2312" w:eastAsia="仿宋_GB2312"/>
                <w:sz w:val="21"/>
              </w:rPr>
              <w:t>（二）</w:t>
            </w:r>
            <w:r>
              <w:rPr>
                <w:rFonts w:ascii="仿宋_GB2312" w:hAnsi="仿宋_GB2312" w:cs="仿宋_GB2312" w:eastAsia="仿宋_GB2312"/>
                <w:sz w:val="21"/>
              </w:rPr>
              <w:t>G5 京昆高速西安至陕川界段安全韧性提升工程</w:t>
            </w:r>
          </w:p>
          <w:p>
            <w:pPr>
              <w:pStyle w:val="null3"/>
              <w:ind w:firstLine="420"/>
              <w:jc w:val="left"/>
            </w:pPr>
            <w:r>
              <w:rPr>
                <w:rFonts w:ascii="仿宋_GB2312" w:hAnsi="仿宋_GB2312" w:cs="仿宋_GB2312" w:eastAsia="仿宋_GB2312"/>
                <w:sz w:val="21"/>
              </w:rPr>
              <w:t>项目路线全长</w:t>
            </w:r>
            <w:r>
              <w:rPr>
                <w:rFonts w:ascii="仿宋_GB2312" w:hAnsi="仿宋_GB2312" w:cs="仿宋_GB2312" w:eastAsia="仿宋_GB2312"/>
                <w:sz w:val="21"/>
              </w:rPr>
              <w:t>326.03 公里，维持既有双向四车道高速公路技术标准。建设内容主要包含路基路面、桥涵、隧道、交通工程及沿线设施等公路安全韧性提升内容和制度体系建设。其中路线工点 2处（单幅）、路基路面工点 55 处、桥涵工点 487 座（单幅）、隧道工点 14 座（双洞）、交通安全设施工程 272.7 公里，同步完善安全风险管控制度体系。项目估算总金额 45.84亿元。</w:t>
            </w:r>
          </w:p>
          <w:p>
            <w:pPr>
              <w:pStyle w:val="null3"/>
              <w:jc w:val="both"/>
            </w:pPr>
            <w:r>
              <w:rPr>
                <w:rFonts w:ascii="仿宋_GB2312" w:hAnsi="仿宋_GB2312" w:cs="仿宋_GB2312" w:eastAsia="仿宋_GB2312"/>
                <w:sz w:val="21"/>
              </w:rPr>
              <w:t>设计咨询评估主要服务内容包括：承揽项目的代厅咨询评估工作，包括初步设计、施工图设计审查、设计变更审查、概预算审查等，国高网项目还包括初步设计衔接论证。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项目负责人:具有公路相关专业高级工程师及以上职称，担任过高速公路项目的勘察设计咨询评估审查负责人。 拟派评估专家配置：针对本项目至少配备工程地质、路线、路基路面、桥梁、隧道、路线交叉、交通工程及沿线设施专业评估专家。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按招标人需求配备电脑、车辆等。</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根据采购人工作要求开展设计咨询（评估）项目相关工作，并提交咨询(评估)审查报告（含概预算专项审查报告）。审查报告需符合国家和陕西省有关规定，以及现行法律、法规和行业标准、规范等要求。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自合同签订之日起三年，实际合同期限以采购人确认为准。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审查报告需符合国家和陕西省有关规定，以及现行法律、法规和行业标准、规范等要求。服务期满经采购人验收合格后，确定项目完成。</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成交通知书发出之日起30日内发包人与咨询人签订政府采购合同，在咨询人递交履约保证金后 ，第二年按照财政预算拨付进度支付费用。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同时，成交单位在领取中标通知书时线下提交响应文件正本壹套、副本贰套、电子版贰套（U盘贰套标明供应商名称）。且提供的响应文件纸质版与电子版必须与在陕西省政府采购综合管理平台项目电子化交易系统上提交的电子响应文件内容一致，若电子化响应文件与纸质响应文件不一致的，以电子化响应文件为准。线下递交文件地点：陕西省西安市唐延路3号唐延国际中心AB区8楼。 （2）如响应文件中融资相关内容与新政策要求有出入，按照最新要求执行。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供应商关系关联声明.docx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主体资格证明文件</w:t>
            </w:r>
          </w:p>
        </w:tc>
        <w:tc>
          <w:tcPr>
            <w:tcW w:type="dxa" w:w="3322"/>
          </w:tcPr>
          <w:p>
            <w:pPr>
              <w:pStyle w:val="null3"/>
            </w:pPr>
            <w:r>
              <w:rPr>
                <w:rFonts w:ascii="仿宋_GB2312" w:hAnsi="仿宋_GB2312" w:cs="仿宋_GB2312" w:eastAsia="仿宋_GB2312"/>
              </w:rPr>
              <w:t>供应商合法注册的法人或其他组织的营业执照等证明文件或自然人的身份证明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提供具有经审计资质单位出具的2024年度财务报告或供应商开标日前6个月内基本存款账户银行出具的资信证明（附基本存款账户开户许可证或加盖银行章的基本存款账户信息）。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具有履行本合同所必需的设备和专业技术能力的书面声明</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法定代表人直接参加投标的，须提供法定代表人身份证明（法人身份证原件备查）；法定代表人授权代表参加投标的，须提供法定代表人授权委托书（授权代表身份证原件备查）</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供应商关联关系声明</w:t>
            </w:r>
          </w:p>
        </w:tc>
        <w:tc>
          <w:tcPr>
            <w:tcW w:type="dxa" w:w="3322"/>
          </w:tcPr>
          <w:p>
            <w:pPr>
              <w:pStyle w:val="null3"/>
            </w:pPr>
            <w:r>
              <w:rPr>
                <w:rFonts w:ascii="仿宋_GB2312" w:hAnsi="仿宋_GB2312" w:cs="仿宋_GB2312" w:eastAsia="仿宋_GB2312"/>
              </w:rPr>
              <w:t>供应商关联关系声明，包括：①控股管理关系（不得与采购人、项目法人单位、采购代理机构或参加本项目的其他供应商单位负责人为同一人或者存在直接控股、管理关系）；②未为本项目提供整体设计、规范编制（双院制咨询审查单位）或者项目管理、监理、检测等服务；③不得为本合同包各项目的投资人、项目法人单位；④不得为合同包的采购代理机构；</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供应商信用信息查询</w:t>
            </w:r>
          </w:p>
        </w:tc>
        <w:tc>
          <w:tcPr>
            <w:tcW w:type="dxa" w:w="3322"/>
          </w:tcPr>
          <w:p>
            <w:pPr>
              <w:pStyle w:val="null3"/>
            </w:pPr>
            <w:r>
              <w:rPr>
                <w:rFonts w:ascii="仿宋_GB2312" w:hAnsi="仿宋_GB2312" w:cs="仿宋_GB2312" w:eastAsia="仿宋_GB2312"/>
              </w:rPr>
              <w:t>①未被列入“信用中国”网站（www.creditchina.gov.cn/）中“失信被执行人”和“重大税收违法失信主体”当事人名单；②不处于中国政府采购网（www.ccgp.gov.cn/)“政府采购严重违法失信行为记录名单”中的禁止参加政府采购活动期间；③未被“全国公路建设市场信用信息管理系统”（https://glxy.mot.gov.cn/）列入“不良行为记录”；④未被列入国家企业信用信息公示系统（www.gsxt.gov.cn/）列入“严重违法失信名单”；⑤供应商在近三年内未有行贿犯罪行为（以中国裁判文书网查询结果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全国投资项目在线审批监管平台查询</w:t>
            </w:r>
          </w:p>
        </w:tc>
        <w:tc>
          <w:tcPr>
            <w:tcW w:type="dxa" w:w="3322"/>
          </w:tcPr>
          <w:p>
            <w:pPr>
              <w:pStyle w:val="null3"/>
            </w:pPr>
            <w:r>
              <w:rPr>
                <w:rFonts w:ascii="仿宋_GB2312" w:hAnsi="仿宋_GB2312" w:cs="仿宋_GB2312" w:eastAsia="仿宋_GB2312"/>
              </w:rPr>
              <w:t>供应商应进入“全国投资项目在线审批监管平台”中的工程咨询单位名录，且备案咨询专业和服务范围包括“公路专业评估咨询”，且供应商名称与该名录中的相应企业名称完全一致。</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其他内容</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(2）不满足本招标文件中“服务期限、服务地点、采购资金的支付方式及约定”的实质性条款要求的； (3）文件有效期不足的或无有效期的； (4）法律法规和招标文件规定的其他无效情形。</w:t>
            </w:r>
          </w:p>
        </w:tc>
        <w:tc>
          <w:tcPr>
            <w:tcW w:type="dxa" w:w="1661"/>
          </w:tcPr>
          <w:p>
            <w:pPr>
              <w:pStyle w:val="null3"/>
            </w:pPr>
            <w:r>
              <w:rPr>
                <w:rFonts w:ascii="仿宋_GB2312" w:hAnsi="仿宋_GB2312" w:cs="仿宋_GB2312" w:eastAsia="仿宋_GB2312"/>
              </w:rPr>
              <w:t>政府采购供应商拒绝政府采购领域商业贿赂承诺书.docx 响应文件封面 合同条款偏离表.docx 商务应答表 服务方案响应说明.docx 法定代表人身份证明或法定代表人授权委托书.docx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1.具有公路相关专业高级工程师及以上职称，得4分。 评审依据：供应商须在响应文件中附证书复印件并加盖公章，同时提供项目负责人投标截至时间前三个月的社保缴纳证明资料，未提供不得分。 2.具有2020年1月1日至今担任过高速公路项目的勘察设计咨询评估审查或勘察设计的项目负责人，且其中： ①提供的高速公路勘察设计咨询审查或勘察设计的业绩里程在50km及以上的，每提供一个计3分，此项最多得6分。 ②提供的项目负责人业绩中包含高速公路特大桥，每提供一个计3分，此项最多得3分。 上述①、②可累计加分。 评审依据：供应商需在响应文件中附合同协议书或委托人证明或全国公路建设市场信用信息系统查询截图，内容中需体现项目负责人姓名，未按要求提供不得分。 注：1.业绩认定时间以设计批复时间为准（提供批复文件）。 2.业绩评审时，若同一项目按里程划分两个标段进行设计咨询审查，里程均达到50公里的，应分别评审业绩</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服务方案响应说明.docx</w:t>
            </w:r>
          </w:p>
          <w:p>
            <w:pPr>
              <w:pStyle w:val="null3"/>
            </w:pPr>
            <w:r>
              <w:rPr>
                <w:rFonts w:ascii="仿宋_GB2312" w:hAnsi="仿宋_GB2312" w:cs="仿宋_GB2312" w:eastAsia="仿宋_GB2312"/>
              </w:rPr>
              <w:t>项目负责人资历表.docx</w:t>
            </w:r>
          </w:p>
        </w:tc>
      </w:tr>
      <w:tr>
        <w:tc>
          <w:tcPr>
            <w:tcW w:type="dxa" w:w="831"/>
            <w:vMerge/>
          </w:tcPr>
          <w:p/>
        </w:tc>
        <w:tc>
          <w:tcPr>
            <w:tcW w:type="dxa" w:w="1661"/>
          </w:tcPr>
          <w:p>
            <w:pPr>
              <w:pStyle w:val="null3"/>
            </w:pPr>
            <w:r>
              <w:rPr>
                <w:rFonts w:ascii="仿宋_GB2312" w:hAnsi="仿宋_GB2312" w:cs="仿宋_GB2312" w:eastAsia="仿宋_GB2312"/>
              </w:rPr>
              <w:t>拟派评估专家配置</w:t>
            </w:r>
          </w:p>
        </w:tc>
        <w:tc>
          <w:tcPr>
            <w:tcW w:type="dxa" w:w="2492"/>
          </w:tcPr>
          <w:p>
            <w:pPr>
              <w:pStyle w:val="null3"/>
            </w:pPr>
            <w:r>
              <w:rPr>
                <w:rFonts w:ascii="仿宋_GB2312" w:hAnsi="仿宋_GB2312" w:cs="仿宋_GB2312" w:eastAsia="仿宋_GB2312"/>
              </w:rPr>
              <w:t>供应商针对本项目至少配备工程地质、路线、路基路面、桥梁、隧道、路线交叉、交通工程及沿线设施专业评估专家，造价专业评估专家（评估专家）须同时满足下列1、2项要求，每提供1名得1分，最高得8分。 拟派评估专家必须满足的任职资格与业绩： 1.具有高级工程师及以上职称； 2.具有2020年1月1日至今担任过高速公路项目（单个里程≥50公里）设计咨询审查工作业绩。 评审依据：供应商需在响应文件中附证书复印件及业绩相关证明材料复印件并加盖公章，业绩内容中需体现拟派评估专家姓名，如上述文件不能体现拟派评估专家姓名的，可提供委托人出具的相关证明扫描件或带有项目名称、拟派评估专家签名的报告文件关键页扫描件，同时提供拟派专家投标截至时间前三个月的社保缴纳证明资料，未按要求提供不得分。 注：1.评审标准中所有高速公路业绩时间以设计批复时间为准（提供批复文件）。 2.业绩评审时，若同一项目按里程划分两个标段进行设计咨询审查，里程均达到50公里的，应分别评审业绩.</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服务方案响应说明.docx</w:t>
            </w:r>
          </w:p>
          <w:p>
            <w:pPr>
              <w:pStyle w:val="null3"/>
            </w:pPr>
            <w:r>
              <w:rPr>
                <w:rFonts w:ascii="仿宋_GB2312" w:hAnsi="仿宋_GB2312" w:cs="仿宋_GB2312" w:eastAsia="仿宋_GB2312"/>
              </w:rPr>
              <w:t>评估专家人员配置.docx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2020年1月1日至今，承揽过高速公路项目的勘察设计咨询审查或或勘察设计， 其中： ①.提供的业绩中单个里程长度≥50公里的改建高速公路建设或养护大修项目，得3分，最高得9分； ②.提供的业绩中包含高速公路特大桥，每提供一个计3分，此项最多得9分； 上述①、②可累计加分。 评审依据：供应商需在投标文件中提供合同协议书或全国公路建设市场信用信息系统查询截图，以及设计批复文件。注：1.评审标准中所有高速公路业绩时间以设计批复时间为准（提供批复文件）；业绩证明材料以提供的合同协议书或全国公路建设市场信用信息系统查询截图、合同对应阶段的批复文件的彩色复印件为准。 2.业绩评审时，若同一项目按里程划分两个标段进行设计咨询审查，里程均达到50公里的，应分别评审业绩。</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业绩的有关证明材料.docx</w:t>
            </w:r>
          </w:p>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对技术咨询服务工作的理解</w:t>
            </w:r>
          </w:p>
        </w:tc>
        <w:tc>
          <w:tcPr>
            <w:tcW w:type="dxa" w:w="2492"/>
          </w:tcPr>
          <w:p>
            <w:pPr>
              <w:pStyle w:val="null3"/>
            </w:pPr>
            <w:r>
              <w:rPr>
                <w:rFonts w:ascii="仿宋_GB2312" w:hAnsi="仿宋_GB2312" w:cs="仿宋_GB2312" w:eastAsia="仿宋_GB2312"/>
              </w:rPr>
              <w:t>对技术咨询服务工作的理解内容至少包括①项目需求理解；②项目背景分析；③法律法规的掌握程度等。以上内容专门针对本项目且符合本项目实际需求的得9分，每缺一项内容扣3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技术咨询服务总体思路</w:t>
            </w:r>
          </w:p>
        </w:tc>
        <w:tc>
          <w:tcPr>
            <w:tcW w:type="dxa" w:w="2492"/>
          </w:tcPr>
          <w:p>
            <w:pPr>
              <w:pStyle w:val="null3"/>
            </w:pPr>
            <w:r>
              <w:rPr>
                <w:rFonts w:ascii="仿宋_GB2312" w:hAnsi="仿宋_GB2312" w:cs="仿宋_GB2312" w:eastAsia="仿宋_GB2312"/>
              </w:rPr>
              <w:t>技术咨询服务总体思路内容至少包括①技术咨询服务总体思路内容；②技术咨询服务总体思路措施；③技术咨询服务总体思路目标等。以上内容专门针对本项目且符合本项目实际需求的得9分，每缺一项内容扣3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对各专业工程技术咨询特点的认识及其对策措施</w:t>
            </w:r>
          </w:p>
        </w:tc>
        <w:tc>
          <w:tcPr>
            <w:tcW w:type="dxa" w:w="2492"/>
          </w:tcPr>
          <w:p>
            <w:pPr>
              <w:pStyle w:val="null3"/>
            </w:pPr>
            <w:r>
              <w:rPr>
                <w:rFonts w:ascii="仿宋_GB2312" w:hAnsi="仿宋_GB2312" w:cs="仿宋_GB2312" w:eastAsia="仿宋_GB2312"/>
              </w:rPr>
              <w:t>对各专业工程技术咨询特点的认识及其对策措施内容至少包括于①专业工程技术咨询特点的认识②对策措施③应急预案等。以上内容专门针对本项目且符合本项目实际需求的得9分，每缺一项内容扣3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咨询工作计划</w:t>
            </w:r>
          </w:p>
        </w:tc>
        <w:tc>
          <w:tcPr>
            <w:tcW w:type="dxa" w:w="2492"/>
          </w:tcPr>
          <w:p>
            <w:pPr>
              <w:pStyle w:val="null3"/>
            </w:pPr>
            <w:r>
              <w:rPr>
                <w:rFonts w:ascii="仿宋_GB2312" w:hAnsi="仿宋_GB2312" w:cs="仿宋_GB2312" w:eastAsia="仿宋_GB2312"/>
              </w:rPr>
              <w:t>咨询工作计划内容至少包括于①项目的计划安排②各子项任务的衔接③文字及图表的说明④应急方案等。以上内容专门针对本项目且符合本项目实际需求的得8分，每缺一项内容扣2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质量、进度保障措施</w:t>
            </w:r>
          </w:p>
        </w:tc>
        <w:tc>
          <w:tcPr>
            <w:tcW w:type="dxa" w:w="2492"/>
          </w:tcPr>
          <w:p>
            <w:pPr>
              <w:pStyle w:val="null3"/>
            </w:pPr>
            <w:r>
              <w:rPr>
                <w:rFonts w:ascii="仿宋_GB2312" w:hAnsi="仿宋_GB2312" w:cs="仿宋_GB2312" w:eastAsia="仿宋_GB2312"/>
              </w:rPr>
              <w:t>质量、进度保障措施内容至少包括①质量、进度保障方案；②质量、进度目标；③成果文件质量控制措施；④保证工作进度计划措施等。 以上内容专门针对本项目且符合本项目实际需求的得8分，每缺一项内容扣2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重点、难点分析及合理化建议</w:t>
            </w:r>
          </w:p>
        </w:tc>
        <w:tc>
          <w:tcPr>
            <w:tcW w:type="dxa" w:w="2492"/>
          </w:tcPr>
          <w:p>
            <w:pPr>
              <w:pStyle w:val="null3"/>
            </w:pPr>
            <w:r>
              <w:rPr>
                <w:rFonts w:ascii="仿宋_GB2312" w:hAnsi="仿宋_GB2312" w:cs="仿宋_GB2312" w:eastAsia="仿宋_GB2312"/>
              </w:rPr>
              <w:t>重点、难点分析及合理化建议内容至少包括①重点、难点分析②应对措施③重点、难点相关经验等④合理化建议等。 以上内容专门针对本项目且符合本项目实际需求的得8分，每缺一项内容扣2分，若上述内容存在瑕疵，每存在1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服务方案响应说明.docx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投标报价即为综合折扣，满足招标文件要求且投标报价综合折扣最低的为评标基准价，即其报价得分为满分10分。 计算公式：报价得分=（评标基准价/投标报价）×价格权值×100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价格分统一采用低价优先法计算，即满足招标文件要求且投标价格最低的投标报价为投标基准价，其价格分为满分。其他供应商的价格分统一按照下列公式计算： 投标报价得分=(投标基准价／投标报价)×10 %×100计算分数时四舍五入取小数点后两位； 符合招标文件规定的小微企业、监狱企业、残疾人福利性单位优惠条件的供应商，价格给予10%的扣除，用扣除后的价格参与评审。</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详见附件：供应商关系关联声明.docx</w:t>
      </w:r>
    </w:p>
    <w:p>
      <w:pPr>
        <w:pStyle w:val="null3"/>
        <w:ind w:firstLine="960"/>
      </w:pPr>
      <w:r>
        <w:rPr>
          <w:rFonts w:ascii="仿宋_GB2312" w:hAnsi="仿宋_GB2312" w:cs="仿宋_GB2312" w:eastAsia="仿宋_GB2312"/>
        </w:rPr>
        <w:t>详见附件：合同条款偏离表.docx</w:t>
      </w:r>
    </w:p>
    <w:p>
      <w:pPr>
        <w:pStyle w:val="null3"/>
        <w:ind w:firstLine="960"/>
      </w:pPr>
      <w:r>
        <w:rPr>
          <w:rFonts w:ascii="仿宋_GB2312" w:hAnsi="仿宋_GB2312" w:cs="仿宋_GB2312" w:eastAsia="仿宋_GB2312"/>
        </w:rPr>
        <w:t>详见附件：评估专家人员配置.docx</w:t>
      </w:r>
    </w:p>
    <w:p>
      <w:pPr>
        <w:pStyle w:val="null3"/>
        <w:ind w:firstLine="960"/>
      </w:pPr>
      <w:r>
        <w:rPr>
          <w:rFonts w:ascii="仿宋_GB2312" w:hAnsi="仿宋_GB2312" w:cs="仿宋_GB2312" w:eastAsia="仿宋_GB2312"/>
        </w:rPr>
        <w:t>详见附件：项目负责人资历表.docx</w:t>
      </w:r>
    </w:p>
    <w:p>
      <w:pPr>
        <w:pStyle w:val="null3"/>
        <w:ind w:firstLine="960"/>
      </w:pPr>
      <w:r>
        <w:rPr>
          <w:rFonts w:ascii="仿宋_GB2312" w:hAnsi="仿宋_GB2312" w:cs="仿宋_GB2312" w:eastAsia="仿宋_GB2312"/>
        </w:rPr>
        <w:t>详见附件：业绩的有关证明材料.docx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