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版本号：SCZC2025-ZB-2259-00120250930002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陕西省医疗保障信息平台骨干网链路（备用）租赁项目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SCZC2025-ZB-2259-001</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陕西省医疗保障信息平台骨干网链路（备用）租赁项目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SCZC2025-ZB-2259-001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陕西省医疗保障信息平台骨干网链路（备用）租赁项目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保障信息平台骨干网链路(备用)租赁;主要功能或目标:按照带宽要求提供数据中心至各地市骨干网节点链路、数据中心出口链路、数据中心VPN链路、数据中心VPDN链路等专线链路的传输服务，服务期为一年;需满足的要求:满足采购所需数量和类型的专线链路，符合带宽及质量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授权书：法定代表人直接参加投标的，须出具法定代表人身份证明，并与营业执照上信息一致。法定代表人授权代表参加投标的，须出具法定代表人授权书，并附法定代表人及授权代表身份证及本单位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西安市锦业路1号都市之门C座9层招标三部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白新岩、钟玉艳、王莉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采购包1：1,776,500.00元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银行账号：102462458020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857号）的有关规定标准下浮10%收取，向采购代理机构一次付清代理服务费。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保障信息平台建设工程骨干网链路(备用)租赁;主要功能或目标:按照带宽要求提供数据中心至各地市骨干网节点链路、数据中心出口链路、数据中心VPN链路、数据中心VPDN链路等专线链路的传输服务，服务期为一年;需满足的要求:满足采购所需数量和类型的专线链路，符合带宽及质量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1,776,500.00</w:t>
      </w:r>
    </w:p>
    <w:p>
      <w:pPr>
        <w:pStyle w:val="null3"/>
      </w:pPr>
      <w:r>
        <w:rPr>
          <w:rFonts w:ascii="仿宋_GB2312" w:hAnsi="仿宋_GB2312" w:cs="仿宋_GB2312" w:eastAsia="仿宋_GB2312"/>
        </w:rPr>
        <w:t>采购包最高限价（元）: 1,776,500.00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陕西省医疗保障信息平台骨干网链路（备用）租赁项目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标的名称：陕西省医疗保障信息平台骨干网链路（备用）租赁项目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pPr>
            <w:r>
              <w:rPr>
                <w:rFonts w:ascii="仿宋_GB2312" w:hAnsi="仿宋_GB2312" w:cs="仿宋_GB2312" w:eastAsia="仿宋_GB2312"/>
              </w:rPr>
              <w:t>（一 ）采购清单</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链路类型</w:t>
                  </w:r>
                </w:p>
              </w:tc>
              <w:tc>
                <w:tcPr>
                  <w:tcW w:type="dxa" w:w="638"/>
                </w:tcPr>
                <w:p>
                  <w:pPr>
                    <w:pStyle w:val="null3"/>
                  </w:pPr>
                  <w:r>
                    <w:rPr>
                      <w:rFonts w:ascii="仿宋_GB2312" w:hAnsi="仿宋_GB2312" w:cs="仿宋_GB2312" w:eastAsia="仿宋_GB2312"/>
                    </w:rPr>
                    <w:t>带宽</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同城专线</w:t>
                  </w:r>
                </w:p>
              </w:tc>
              <w:tc>
                <w:tcPr>
                  <w:tcW w:type="dxa" w:w="638"/>
                </w:tcPr>
                <w:p>
                  <w:pPr>
                    <w:pStyle w:val="null3"/>
                  </w:pPr>
                  <w:r>
                    <w:rPr>
                      <w:rFonts w:ascii="仿宋_GB2312" w:hAnsi="仿宋_GB2312" w:cs="仿宋_GB2312" w:eastAsia="仿宋_GB2312"/>
                    </w:rPr>
                    <w:t>300M</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100M</w:t>
                  </w:r>
                </w:p>
              </w:tc>
              <w:tc>
                <w:tcPr>
                  <w:tcW w:type="dxa" w:w="638"/>
                </w:tcPr>
                <w:p>
                  <w:pPr>
                    <w:pStyle w:val="null3"/>
                  </w:pPr>
                  <w:r>
                    <w:rPr>
                      <w:rFonts w:ascii="仿宋_GB2312" w:hAnsi="仿宋_GB2312" w:cs="仿宋_GB2312" w:eastAsia="仿宋_GB2312"/>
                    </w:rPr>
                    <w:t>12</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跨地市专线</w:t>
                  </w:r>
                </w:p>
              </w:tc>
              <w:tc>
                <w:tcPr>
                  <w:tcW w:type="dxa" w:w="638"/>
                </w:tcPr>
                <w:p>
                  <w:pPr>
                    <w:pStyle w:val="null3"/>
                  </w:pPr>
                  <w:r>
                    <w:rPr>
                      <w:rFonts w:ascii="仿宋_GB2312" w:hAnsi="仿宋_GB2312" w:cs="仿宋_GB2312" w:eastAsia="仿宋_GB2312"/>
                    </w:rPr>
                    <w:t>100M</w:t>
                  </w:r>
                </w:p>
              </w:tc>
              <w:tc>
                <w:tcPr>
                  <w:tcW w:type="dxa" w:w="638"/>
                </w:tcPr>
                <w:p>
                  <w:pPr>
                    <w:pStyle w:val="null3"/>
                  </w:pPr>
                  <w:r>
                    <w:rPr>
                      <w:rFonts w:ascii="仿宋_GB2312" w:hAnsi="仿宋_GB2312" w:cs="仿宋_GB2312" w:eastAsia="仿宋_GB2312"/>
                    </w:rPr>
                    <w:t>11</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VPN专线</w:t>
                  </w:r>
                </w:p>
              </w:tc>
              <w:tc>
                <w:tcPr>
                  <w:tcW w:type="dxa" w:w="638"/>
                </w:tcPr>
                <w:p>
                  <w:pPr>
                    <w:pStyle w:val="null3"/>
                  </w:pPr>
                  <w:r>
                    <w:rPr>
                      <w:rFonts w:ascii="仿宋_GB2312" w:hAnsi="仿宋_GB2312" w:cs="仿宋_GB2312" w:eastAsia="仿宋_GB2312"/>
                    </w:rPr>
                    <w:t>50M</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VPDN专线</w:t>
                  </w:r>
                </w:p>
              </w:tc>
              <w:tc>
                <w:tcPr>
                  <w:tcW w:type="dxa" w:w="638"/>
                </w:tcPr>
                <w:p>
                  <w:pPr>
                    <w:pStyle w:val="null3"/>
                  </w:pPr>
                  <w:r>
                    <w:rPr>
                      <w:rFonts w:ascii="仿宋_GB2312" w:hAnsi="仿宋_GB2312" w:cs="仿宋_GB2312" w:eastAsia="仿宋_GB2312"/>
                    </w:rPr>
                    <w:t>10M</w:t>
                  </w:r>
                </w:p>
              </w:tc>
              <w:tc>
                <w:tcPr>
                  <w:tcW w:type="dxa" w:w="638"/>
                </w:tcPr>
                <w:p>
                  <w:pPr>
                    <w:pStyle w:val="null3"/>
                  </w:pPr>
                  <w:r>
                    <w:rPr>
                      <w:rFonts w:ascii="仿宋_GB2312" w:hAnsi="仿宋_GB2312" w:cs="仿宋_GB2312" w:eastAsia="仿宋_GB2312"/>
                    </w:rPr>
                    <w:t>1</w:t>
                  </w:r>
                </w:p>
              </w:tc>
            </w:tr>
            <w:tr>
              <w:tc>
                <w:tcPr>
                  <w:tcW w:type="dxa" w:w="1914"/>
                  <w:gridSpan w:val="3"/>
                </w:tcPr>
                <w:p>
                  <w:pPr>
                    <w:pStyle w:val="null3"/>
                  </w:pPr>
                  <w:r>
                    <w:rPr>
                      <w:rFonts w:ascii="仿宋_GB2312" w:hAnsi="仿宋_GB2312" w:cs="仿宋_GB2312" w:eastAsia="仿宋_GB2312"/>
                    </w:rPr>
                    <w:t>合计</w:t>
                  </w:r>
                </w:p>
              </w:tc>
              <w:tc>
                <w:tcPr>
                  <w:tcW w:type="dxa" w:w="638"/>
                </w:tcPr>
                <w:p>
                  <w:pPr>
                    <w:pStyle w:val="null3"/>
                  </w:pPr>
                  <w:r>
                    <w:rPr>
                      <w:rFonts w:ascii="仿宋_GB2312" w:hAnsi="仿宋_GB2312" w:cs="仿宋_GB2312" w:eastAsia="仿宋_GB2312"/>
                    </w:rPr>
                    <w:t>26</w:t>
                  </w:r>
                </w:p>
              </w:tc>
            </w:tr>
          </w:tbl>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1.专线链路技术要求</w:t>
            </w:r>
          </w:p>
          <w:p>
            <w:pPr>
              <w:pStyle w:val="null3"/>
            </w:pPr>
            <w:r>
              <w:rPr>
                <w:rFonts w:ascii="仿宋_GB2312" w:hAnsi="仿宋_GB2312" w:cs="仿宋_GB2312" w:eastAsia="仿宋_GB2312"/>
              </w:rPr>
              <w:t>（1）跨地市专线技术参数要求</w:t>
            </w:r>
          </w:p>
          <w:p>
            <w:pPr>
              <w:pStyle w:val="null3"/>
            </w:pPr>
            <w:r>
              <w:rPr>
                <w:rFonts w:ascii="仿宋_GB2312" w:hAnsi="仿宋_GB2312" w:cs="仿宋_GB2312" w:eastAsia="仿宋_GB2312"/>
              </w:rPr>
              <w:t>供应商需数据中心B至各地市（除西安）汇聚结点的11条跨地市专线链路：</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Z端接入点</w:t>
                  </w:r>
                </w:p>
              </w:tc>
              <w:tc>
                <w:tcPr>
                  <w:tcW w:type="dxa" w:w="426"/>
                </w:tcPr>
                <w:p>
                  <w:pPr>
                    <w:pStyle w:val="null3"/>
                  </w:pPr>
                  <w:r>
                    <w:rPr>
                      <w:rFonts w:ascii="仿宋_GB2312" w:hAnsi="仿宋_GB2312" w:cs="仿宋_GB2312" w:eastAsia="仿宋_GB2312"/>
                    </w:rPr>
                    <w:t>A端接入点</w:t>
                  </w:r>
                </w:p>
              </w:tc>
              <w:tc>
                <w:tcPr>
                  <w:tcW w:type="dxa" w:w="426"/>
                </w:tcPr>
                <w:p>
                  <w:pPr>
                    <w:pStyle w:val="null3"/>
                  </w:pPr>
                  <w:r>
                    <w:rPr>
                      <w:rFonts w:ascii="仿宋_GB2312" w:hAnsi="仿宋_GB2312" w:cs="仿宋_GB2312" w:eastAsia="仿宋_GB2312"/>
                    </w:rPr>
                    <w:t>需求带宽（MB）</w:t>
                  </w:r>
                </w:p>
              </w:tc>
              <w:tc>
                <w:tcPr>
                  <w:tcW w:type="dxa" w:w="426"/>
                </w:tcPr>
                <w:p>
                  <w:pPr>
                    <w:pStyle w:val="null3"/>
                  </w:pPr>
                  <w:r>
                    <w:rPr>
                      <w:rFonts w:ascii="仿宋_GB2312" w:hAnsi="仿宋_GB2312" w:cs="仿宋_GB2312" w:eastAsia="仿宋_GB2312"/>
                    </w:rPr>
                    <w:t>数量（条）</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宝鸡市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咸阳市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铜川市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渭南市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商洛市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安康市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汉中市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延安市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榆林市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杨凌示范区</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韩城市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bl>
          <w:p>
            <w:pPr>
              <w:pStyle w:val="null3"/>
            </w:pPr>
            <w:r>
              <w:rPr>
                <w:rFonts w:ascii="仿宋_GB2312" w:hAnsi="仿宋_GB2312" w:cs="仿宋_GB2312" w:eastAsia="仿宋_GB2312"/>
              </w:rPr>
              <w:t>要求如下：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指标要求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专线速率指标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数据中心B到各地市汇聚结点的速率满足上表要求，上下行速率对等。</w:t>
                  </w:r>
                </w:p>
              </w:tc>
            </w:tr>
            <w:tr>
              <w:tc>
                <w:tcPr>
                  <w:tcW w:type="dxa" w:w="638"/>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专线抗风险指标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电路具有自愈保护功能，在光纤损坏、光接口损坏情况下，租用的电路单条链路可用率≥99.9%。要求线路具有强生存性，有保护功能以具相当的抵抗电路故障、设备故障及环境风险的能力。必须提供多路由冗余备份。</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专线冗余链路指标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采用全光纤的接入方式，核心点必须具备两条不同物理路由的光缆资源，安装大容量光端机设备，实现双物理路由双上联局向的传输保护，组成自愈环网，即在一个方向的光纤断掉后不影响所租电路的正常使用，主干环路切换时间&lt;50ms。分支点也必须采用光缆接入。</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吞吐量指标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吞吐量（Throughput）≥实际需求带宽（合格值）</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丢包率指标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丢包率（Frame Loss）≤0.1%（合格值）</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误码率指标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在规定条件范围内工作时，自环连续测试24小时应无误码。</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专线传输指标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1）本地链路延时≤10ms；</w:t>
                  </w:r>
                </w:p>
                <w:p>
                  <w:pPr>
                    <w:pStyle w:val="null3"/>
                  </w:pPr>
                  <w:r>
                    <w:rPr>
                      <w:rFonts w:ascii="仿宋_GB2312" w:hAnsi="仿宋_GB2312" w:cs="仿宋_GB2312" w:eastAsia="仿宋_GB2312"/>
                    </w:rPr>
                    <w:t>2) 长途链路每100公里的延时增加≤1ms；</w:t>
                  </w:r>
                </w:p>
                <w:p>
                  <w:pPr>
                    <w:pStyle w:val="null3"/>
                  </w:pPr>
                  <w:r>
                    <w:rPr>
                      <w:rFonts w:ascii="仿宋_GB2312" w:hAnsi="仿宋_GB2312" w:cs="仿宋_GB2312" w:eastAsia="仿宋_GB2312"/>
                    </w:rPr>
                    <w:t>3）端到端链路的传输比特差错≤ 1.0×10E-7；</w:t>
                  </w:r>
                </w:p>
                <w:p>
                  <w:pPr>
                    <w:pStyle w:val="null3"/>
                  </w:pPr>
                  <w:r>
                    <w:rPr>
                      <w:rFonts w:ascii="仿宋_GB2312" w:hAnsi="仿宋_GB2312" w:cs="仿宋_GB2312" w:eastAsia="仿宋_GB2312"/>
                    </w:rPr>
                    <w:t>4）封包成功率≥99.999%；</w:t>
                  </w:r>
                </w:p>
                <w:p>
                  <w:pPr>
                    <w:pStyle w:val="null3"/>
                  </w:pPr>
                  <w:r>
                    <w:rPr>
                      <w:rFonts w:ascii="仿宋_GB2312" w:hAnsi="仿宋_GB2312" w:cs="仿宋_GB2312" w:eastAsia="仿宋_GB2312"/>
                    </w:rPr>
                    <w:t>5）抖动≤2ms；</w:t>
                  </w:r>
                </w:p>
                <w:p>
                  <w:pPr>
                    <w:pStyle w:val="null3"/>
                  </w:pPr>
                  <w:r>
                    <w:rPr>
                      <w:rFonts w:ascii="仿宋_GB2312" w:hAnsi="仿宋_GB2312" w:cs="仿宋_GB2312" w:eastAsia="仿宋_GB2312"/>
                    </w:rPr>
                    <w:t>6）链路通道ES（误码秒数）≤6 个/2 小时，链路通道SES（严重误码秒数）≤6 个/2小时。</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专线不可用指标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不可用时间≤ 1小时/年。</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单条链路断网指标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单条链路断网次数≤ 5次/年。</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专线业务恢复时限指标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业务恢复时限≤ 2小时。</w:t>
                  </w:r>
                </w:p>
              </w:tc>
            </w:tr>
            <w:tr>
              <w:tc>
                <w:tcPr>
                  <w:tcW w:type="dxa" w:w="638"/>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数字线路通信质量指标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满足工信部部通信管理局最新颁布的《电信服务标准》中有关数字线路的通信质量指标的规定。</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安全性指标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供应商提供的网络必须具有很强的安全性，确保业务数据传输的安全，具有完善的安全保障措施，实现接入链路的端到端全程监控管理，充分保障用户电路的安全可靠性，及电路开通和调配的及时性和灵活性。</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可扩展能力指标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供应商提供的网络必须具备可扩展能力，能够适应招标人网络结构的变化，具有灵活的带宽伸缩能力，满足业务发展的需要。</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开通时间指标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完成全部开通时间为签订合同之日起15个工作日内。</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运营商资质</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专线运营商全部是第一类电信基础网络运营商，供应商须提供工业和信息化部颁发的基础电信业务经营许可证复印件。</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其他要求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1.供应商需提供各地市所需网络设备及管理权限：4台48口千兆业务接入交换机、4台出口路由器、2台下一代防火墙、2台VPN防火墙及相应机架及电源配套，规模参数满足招标人要求（提供承诺书）；</w:t>
                  </w:r>
                </w:p>
                <w:p>
                  <w:pPr>
                    <w:pStyle w:val="null3"/>
                  </w:pPr>
                  <w:r>
                    <w:rPr>
                      <w:rFonts w:ascii="仿宋_GB2312" w:hAnsi="仿宋_GB2312" w:cs="仿宋_GB2312" w:eastAsia="仿宋_GB2312"/>
                    </w:rPr>
                    <w:t>2.供应商需提供骨干网实时监控数据至招标人指定机房；</w:t>
                  </w:r>
                </w:p>
                <w:p>
                  <w:pPr>
                    <w:pStyle w:val="null3"/>
                  </w:pPr>
                  <w:r>
                    <w:rPr>
                      <w:rFonts w:ascii="仿宋_GB2312" w:hAnsi="仿宋_GB2312" w:cs="仿宋_GB2312" w:eastAsia="仿宋_GB2312"/>
                    </w:rPr>
                    <w:t>3.各地市市下联路由间横联链路指的是与异供应商之间的互联。</w:t>
                  </w:r>
                </w:p>
              </w:tc>
            </w:tr>
          </w:tbl>
          <w:p>
            <w:pPr>
              <w:pStyle w:val="null3"/>
            </w:pPr>
            <w:r>
              <w:rPr>
                <w:rFonts w:ascii="仿宋_GB2312" w:hAnsi="仿宋_GB2312" w:cs="仿宋_GB2312" w:eastAsia="仿宋_GB2312"/>
              </w:rPr>
              <w:t>（2）同城专线技术参数要求</w:t>
            </w:r>
          </w:p>
          <w:p>
            <w:pPr>
              <w:pStyle w:val="null3"/>
            </w:pPr>
            <w:r>
              <w:rPr>
                <w:rFonts w:ascii="仿宋_GB2312" w:hAnsi="仿宋_GB2312" w:cs="仿宋_GB2312" w:eastAsia="仿宋_GB2312"/>
              </w:rPr>
              <w:t>供应商需提供数据中心B至西安市汇聚结点的1条专线链路；提供各地市市下联路由器横联（异运营商之间）的12条专线链路：</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Z端接入点</w:t>
                  </w:r>
                </w:p>
              </w:tc>
              <w:tc>
                <w:tcPr>
                  <w:tcW w:type="dxa" w:w="426"/>
                </w:tcPr>
                <w:p>
                  <w:pPr>
                    <w:pStyle w:val="null3"/>
                  </w:pPr>
                  <w:r>
                    <w:rPr>
                      <w:rFonts w:ascii="仿宋_GB2312" w:hAnsi="仿宋_GB2312" w:cs="仿宋_GB2312" w:eastAsia="仿宋_GB2312"/>
                    </w:rPr>
                    <w:t>A端接入点</w:t>
                  </w:r>
                </w:p>
              </w:tc>
              <w:tc>
                <w:tcPr>
                  <w:tcW w:type="dxa" w:w="426"/>
                </w:tcPr>
                <w:p>
                  <w:pPr>
                    <w:pStyle w:val="null3"/>
                  </w:pPr>
                  <w:r>
                    <w:rPr>
                      <w:rFonts w:ascii="仿宋_GB2312" w:hAnsi="仿宋_GB2312" w:cs="仿宋_GB2312" w:eastAsia="仿宋_GB2312"/>
                    </w:rPr>
                    <w:t>带宽（MB）</w:t>
                  </w:r>
                </w:p>
              </w:tc>
              <w:tc>
                <w:tcPr>
                  <w:tcW w:type="dxa" w:w="426"/>
                </w:tcPr>
                <w:p>
                  <w:pPr>
                    <w:pStyle w:val="null3"/>
                  </w:pPr>
                  <w:r>
                    <w:rPr>
                      <w:rFonts w:ascii="仿宋_GB2312" w:hAnsi="仿宋_GB2312" w:cs="仿宋_GB2312" w:eastAsia="仿宋_GB2312"/>
                    </w:rPr>
                    <w:t>数量（条）</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西安市</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300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地市上联数据中心</w:t>
                  </w:r>
                </w:p>
              </w:tc>
            </w:tr>
            <w:tr>
              <w:tc>
                <w:tcPr>
                  <w:tcW w:type="dxa" w:w="426"/>
                </w:tcPr>
                <w:p>
                  <w:pPr>
                    <w:pStyle w:val="null3"/>
                  </w:pPr>
                  <w:r>
                    <w:rPr>
                      <w:rFonts w:ascii="仿宋_GB2312" w:hAnsi="仿宋_GB2312" w:cs="仿宋_GB2312" w:eastAsia="仿宋_GB2312"/>
                    </w:rPr>
                    <w:t>2</w:t>
                  </w:r>
                </w:p>
              </w:tc>
              <w:tc>
                <w:tcPr>
                  <w:tcW w:type="dxa" w:w="852"/>
                  <w:gridSpan w:val="2"/>
                </w:tcPr>
                <w:p>
                  <w:pPr>
                    <w:pStyle w:val="null3"/>
                  </w:pPr>
                  <w:r>
                    <w:rPr>
                      <w:rFonts w:ascii="仿宋_GB2312" w:hAnsi="仿宋_GB2312" w:cs="仿宋_GB2312" w:eastAsia="仿宋_GB2312"/>
                    </w:rPr>
                    <w:t>各地市市上联路由器横联链路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市级异运营商骨干网横穿链路</w:t>
                  </w:r>
                </w:p>
              </w:tc>
            </w:tr>
          </w:tbl>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指标要求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专线速率指标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数据中心B到各地市汇聚结点的速率满足上表要求，上下行速率对等。</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专线抗风险指标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电路具有自愈保护功能，在光纤损坏、光接口损坏情况下，租用的电路单条链路可用率≥99.9%。要求线路具有强生存性，有保护功能以具相当的抵抗电路故障、设备故障及环境风险的能力。必须提供多路由冗余备份。</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专线冗余链路指标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采用全光纤的接入方式，核心点必须具备两条不同物理路由的光缆资源，安装大容量光端机设备，实现双物理路由双上联局向的传输保护，组成自愈环网，即在一个方向的光纤断掉后不影响所租电路的正常使用，主干环路切换时间&lt;50ms。分支点也必须采用光缆接入。</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吞吐量指标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吞吐量（Throughput）≥实际需求带宽（合格值）</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丢包率指标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丢包率（Frame Loss）≤0.1%（合格值）</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误码率指标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在规定条件范围内工作时，自环连续测试24 小时应无误码</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专线传输指标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1）本地链路延时≤10ms；</w:t>
                  </w:r>
                </w:p>
                <w:p>
                  <w:pPr>
                    <w:pStyle w:val="null3"/>
                  </w:pPr>
                  <w:r>
                    <w:rPr>
                      <w:rFonts w:ascii="仿宋_GB2312" w:hAnsi="仿宋_GB2312" w:cs="仿宋_GB2312" w:eastAsia="仿宋_GB2312"/>
                    </w:rPr>
                    <w:t>2) 长途链路每100公里的延时增加≤1ms；</w:t>
                  </w:r>
                </w:p>
                <w:p>
                  <w:pPr>
                    <w:pStyle w:val="null3"/>
                  </w:pPr>
                  <w:r>
                    <w:rPr>
                      <w:rFonts w:ascii="仿宋_GB2312" w:hAnsi="仿宋_GB2312" w:cs="仿宋_GB2312" w:eastAsia="仿宋_GB2312"/>
                    </w:rPr>
                    <w:t>3）端到端链路的传输比特差错≤ 1.0×10E-7；</w:t>
                  </w:r>
                </w:p>
                <w:p>
                  <w:pPr>
                    <w:pStyle w:val="null3"/>
                  </w:pPr>
                  <w:r>
                    <w:rPr>
                      <w:rFonts w:ascii="仿宋_GB2312" w:hAnsi="仿宋_GB2312" w:cs="仿宋_GB2312" w:eastAsia="仿宋_GB2312"/>
                    </w:rPr>
                    <w:t>4）封包成功率≥99.999%；</w:t>
                  </w:r>
                </w:p>
                <w:p>
                  <w:pPr>
                    <w:pStyle w:val="null3"/>
                  </w:pPr>
                  <w:r>
                    <w:rPr>
                      <w:rFonts w:ascii="仿宋_GB2312" w:hAnsi="仿宋_GB2312" w:cs="仿宋_GB2312" w:eastAsia="仿宋_GB2312"/>
                    </w:rPr>
                    <w:t>5）抖动≤2ms；</w:t>
                  </w:r>
                </w:p>
                <w:p>
                  <w:pPr>
                    <w:pStyle w:val="null3"/>
                  </w:pPr>
                  <w:r>
                    <w:rPr>
                      <w:rFonts w:ascii="仿宋_GB2312" w:hAnsi="仿宋_GB2312" w:cs="仿宋_GB2312" w:eastAsia="仿宋_GB2312"/>
                    </w:rPr>
                    <w:t>6）链路通道ES（误码秒数）≤6 个/2 小时，链路通道SES（严重误码秒数）≤6 个/2小时。</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专线不可用指标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不可用时间≤ 10小时/年。</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单条链路断网指标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单条链路断网次数≤ 5次/年。</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专线业务恢复时限指标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业务恢复时限≤ 2小时。</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数字线路通信质量指标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满足工信部部通信管理局最新颁布的《电信服务标准》中有关数字线路的通信质量指标的规定。</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安全性指标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供应商提供的网络必须具有很强的安全性，确保业务数据传输的安全，具有完善的安全保障措施，实现接入链路的端到端全程监控管理，充分保障用户电路的安全可靠性，及电路开通和调配的及时性和灵活性。</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可扩展能力指标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供应商提供的网络必须具备可扩展能力，能够适应招标人网络结构的变化，具有灵活的带宽伸缩能力，满足业务发展的需要。</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开通时间指标</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完成全部开通时间≤ 15个工作日。</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运营商资质</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专线运营商全部是第一类电信基础网络运营商，供应商须提供工业和信息化部颁发的基础电信业务经营许可证复印件。</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其他要求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1.供应商需提供各地市所需网络设备及管理权限：4台48口千兆业务接入交换机、4台出口路由器、2台下一代防火墙、2台VPN防火墙及相应机架及电源配套，规模参数满足招标人要求（提供承诺书）；</w:t>
                  </w:r>
                </w:p>
                <w:p>
                  <w:pPr>
                    <w:pStyle w:val="null3"/>
                  </w:pPr>
                  <w:r>
                    <w:rPr>
                      <w:rFonts w:ascii="仿宋_GB2312" w:hAnsi="仿宋_GB2312" w:cs="仿宋_GB2312" w:eastAsia="仿宋_GB2312"/>
                    </w:rPr>
                    <w:t>2.供应商需提供骨干网实时监控数据至招标人指定机房；</w:t>
                  </w:r>
                </w:p>
                <w:p>
                  <w:pPr>
                    <w:pStyle w:val="null3"/>
                  </w:pPr>
                  <w:r>
                    <w:rPr>
                      <w:rFonts w:ascii="仿宋_GB2312" w:hAnsi="仿宋_GB2312" w:cs="仿宋_GB2312" w:eastAsia="仿宋_GB2312"/>
                    </w:rPr>
                    <w:t>3.各地市市下联路由间横联链路指的是与异供应商之间的互联。</w:t>
                  </w:r>
                </w:p>
              </w:tc>
            </w:tr>
          </w:tbl>
          <w:p>
            <w:pPr>
              <w:pStyle w:val="null3"/>
            </w:pPr>
            <w:r>
              <w:rPr>
                <w:rFonts w:ascii="仿宋_GB2312" w:hAnsi="仿宋_GB2312" w:cs="仿宋_GB2312" w:eastAsia="仿宋_GB2312"/>
              </w:rPr>
              <w:t>（3）VPN技术参数要求</w:t>
            </w:r>
          </w:p>
          <w:p>
            <w:pPr>
              <w:pStyle w:val="null3"/>
            </w:pPr>
            <w:r>
              <w:rPr>
                <w:rFonts w:ascii="仿宋_GB2312" w:hAnsi="仿宋_GB2312" w:cs="仿宋_GB2312" w:eastAsia="仿宋_GB2312"/>
              </w:rPr>
              <w:t>供应商需提供自身网络至数据中心B的1条VPN链路：</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Z端接入点</w:t>
                  </w:r>
                </w:p>
              </w:tc>
              <w:tc>
                <w:tcPr>
                  <w:tcW w:type="dxa" w:w="426"/>
                </w:tcPr>
                <w:p>
                  <w:pPr>
                    <w:pStyle w:val="null3"/>
                  </w:pPr>
                  <w:r>
                    <w:rPr>
                      <w:rFonts w:ascii="仿宋_GB2312" w:hAnsi="仿宋_GB2312" w:cs="仿宋_GB2312" w:eastAsia="仿宋_GB2312"/>
                    </w:rPr>
                    <w:t>A端接入点</w:t>
                  </w:r>
                </w:p>
              </w:tc>
              <w:tc>
                <w:tcPr>
                  <w:tcW w:type="dxa" w:w="426"/>
                </w:tcPr>
                <w:p>
                  <w:pPr>
                    <w:pStyle w:val="null3"/>
                  </w:pPr>
                  <w:r>
                    <w:rPr>
                      <w:rFonts w:ascii="仿宋_GB2312" w:hAnsi="仿宋_GB2312" w:cs="仿宋_GB2312" w:eastAsia="仿宋_GB2312"/>
                    </w:rPr>
                    <w:t>带宽（MB）</w:t>
                  </w:r>
                </w:p>
              </w:tc>
              <w:tc>
                <w:tcPr>
                  <w:tcW w:type="dxa" w:w="426"/>
                </w:tcPr>
                <w:p>
                  <w:pPr>
                    <w:pStyle w:val="null3"/>
                  </w:pPr>
                  <w:r>
                    <w:rPr>
                      <w:rFonts w:ascii="仿宋_GB2312" w:hAnsi="仿宋_GB2312" w:cs="仿宋_GB2312" w:eastAsia="仿宋_GB2312"/>
                    </w:rPr>
                    <w:t>数量（条）</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VPN</w:t>
                  </w:r>
                </w:p>
              </w:tc>
              <w:tc>
                <w:tcPr>
                  <w:tcW w:type="dxa" w:w="426"/>
                </w:tcPr>
                <w:p>
                  <w:pPr>
                    <w:pStyle w:val="null3"/>
                  </w:pPr>
                  <w:r>
                    <w:rPr>
                      <w:rFonts w:ascii="仿宋_GB2312" w:hAnsi="仿宋_GB2312" w:cs="仿宋_GB2312" w:eastAsia="仿宋_GB2312"/>
                    </w:rPr>
                    <w:t>数据中心B</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SSL设备专线</w:t>
                  </w:r>
                </w:p>
              </w:tc>
            </w:tr>
          </w:tbl>
          <w:p>
            <w:pPr>
              <w:pStyle w:val="null3"/>
            </w:pPr>
            <w:r>
              <w:rPr>
                <w:rFonts w:ascii="仿宋_GB2312" w:hAnsi="仿宋_GB2312" w:cs="仿宋_GB2312" w:eastAsia="仿宋_GB2312"/>
              </w:rPr>
              <w:t>要求如下：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技术要求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线路类型</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VPN专线。</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接口类型</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用户指定。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接入要求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供应商负责自身网络至数据中心的VPN 专线链路，并搭建 VPN 接入环境。</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带宽要求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供应商提供50M 带宽专线网络服务。</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扩容要求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须承诺在接到招标人通知后的10 个工作日内完成带宽的扩容的响应。</w:t>
                  </w:r>
                </w:p>
              </w:tc>
            </w:tr>
          </w:tbl>
          <w:p>
            <w:pPr>
              <w:pStyle w:val="null3"/>
            </w:pPr>
            <w:r>
              <w:rPr>
                <w:rFonts w:ascii="仿宋_GB2312" w:hAnsi="仿宋_GB2312" w:cs="仿宋_GB2312" w:eastAsia="仿宋_GB2312"/>
              </w:rPr>
              <w:t>（4）4G VPDN技术参数要求</w:t>
            </w:r>
          </w:p>
          <w:p>
            <w:pPr>
              <w:pStyle w:val="null3"/>
            </w:pPr>
            <w:r>
              <w:rPr>
                <w:rFonts w:ascii="仿宋_GB2312" w:hAnsi="仿宋_GB2312" w:cs="仿宋_GB2312" w:eastAsia="仿宋_GB2312"/>
              </w:rPr>
              <w:t>供应商需提供自身网络至数据中心A的1条4G VPDN链路：</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Z端接入点</w:t>
                  </w:r>
                </w:p>
              </w:tc>
              <w:tc>
                <w:tcPr>
                  <w:tcW w:type="dxa" w:w="426"/>
                </w:tcPr>
                <w:p>
                  <w:pPr>
                    <w:pStyle w:val="null3"/>
                  </w:pPr>
                  <w:r>
                    <w:rPr>
                      <w:rFonts w:ascii="仿宋_GB2312" w:hAnsi="仿宋_GB2312" w:cs="仿宋_GB2312" w:eastAsia="仿宋_GB2312"/>
                    </w:rPr>
                    <w:t>A端接入点</w:t>
                  </w:r>
                </w:p>
              </w:tc>
              <w:tc>
                <w:tcPr>
                  <w:tcW w:type="dxa" w:w="426"/>
                </w:tcPr>
                <w:p>
                  <w:pPr>
                    <w:pStyle w:val="null3"/>
                  </w:pPr>
                  <w:r>
                    <w:rPr>
                      <w:rFonts w:ascii="仿宋_GB2312" w:hAnsi="仿宋_GB2312" w:cs="仿宋_GB2312" w:eastAsia="仿宋_GB2312"/>
                    </w:rPr>
                    <w:t>带宽（MB）</w:t>
                  </w:r>
                </w:p>
              </w:tc>
              <w:tc>
                <w:tcPr>
                  <w:tcW w:type="dxa" w:w="426"/>
                </w:tcPr>
                <w:p>
                  <w:pPr>
                    <w:pStyle w:val="null3"/>
                  </w:pPr>
                  <w:r>
                    <w:rPr>
                      <w:rFonts w:ascii="仿宋_GB2312" w:hAnsi="仿宋_GB2312" w:cs="仿宋_GB2312" w:eastAsia="仿宋_GB2312"/>
                    </w:rPr>
                    <w:t>数量（条）</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VPDN</w:t>
                  </w:r>
                </w:p>
              </w:tc>
              <w:tc>
                <w:tcPr>
                  <w:tcW w:type="dxa" w:w="426"/>
                </w:tcPr>
                <w:p>
                  <w:pPr>
                    <w:pStyle w:val="null3"/>
                  </w:pPr>
                  <w:r>
                    <w:rPr>
                      <w:rFonts w:ascii="仿宋_GB2312" w:hAnsi="仿宋_GB2312" w:cs="仿宋_GB2312" w:eastAsia="仿宋_GB2312"/>
                    </w:rPr>
                    <w:t>数据中心A</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刷脸支付等终端使用</w:t>
                  </w:r>
                </w:p>
              </w:tc>
            </w:tr>
          </w:tbl>
          <w:p>
            <w:pPr>
              <w:pStyle w:val="null3"/>
            </w:pPr>
            <w:r>
              <w:rPr>
                <w:rFonts w:ascii="仿宋_GB2312" w:hAnsi="仿宋_GB2312" w:cs="仿宋_GB2312" w:eastAsia="仿宋_GB2312"/>
              </w:rPr>
              <w:t>要求如下：</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技术要求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线路类型</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基于L2TP 等技术，提供账号、密码、IMSI、IP 地址等多种组合的安全认证方式，且支持基于数字证书的二次认证方式。</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接口类型</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用户指定。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接入要求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供应商负责自身网络至数据中心的VPDN 专线链路，并搭建 VPDN 接入环境。</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带宽要求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供应商提供10M 带宽专线网络服务。</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扩容要求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须承诺在接到招标人通知后的10 个工作日内完成带宽的扩容的响应。</w:t>
                  </w:r>
                </w:p>
              </w:tc>
            </w:tr>
          </w:tbl>
          <w:p>
            <w:pPr>
              <w:pStyle w:val="null3"/>
            </w:pPr>
            <w:r>
              <w:rPr>
                <w:rFonts w:ascii="仿宋_GB2312" w:hAnsi="仿宋_GB2312" w:cs="仿宋_GB2312" w:eastAsia="仿宋_GB2312"/>
              </w:rPr>
              <w:t>3.地市网络设备技术要求</w:t>
            </w:r>
          </w:p>
          <w:p>
            <w:pPr>
              <w:pStyle w:val="null3"/>
            </w:pPr>
            <w:r>
              <w:rPr>
                <w:rFonts w:ascii="仿宋_GB2312" w:hAnsi="仿宋_GB2312" w:cs="仿宋_GB2312" w:eastAsia="仿宋_GB2312"/>
              </w:rPr>
              <w:t>说明:为保证服务质量，以下内容仅是针对所提供的骨干网节点设备的传输性能基本要求，下列设备不单独作为采购需求内容。本次报价组成仅包含采购清单中“专线链路清单”的内容及相应费用。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（1）市下联路由器技术参数要求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技术要求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硬件形态</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国产品牌路由器，整机业务板槽位数≥6个；</w:t>
                  </w:r>
                  <w:r>
                    <w:br/>
                  </w:r>
                  <w:r>
                    <w:rPr>
                      <w:rFonts w:ascii="仿宋_GB2312" w:hAnsi="仿宋_GB2312" w:cs="仿宋_GB2312" w:eastAsia="仿宋_GB2312"/>
                    </w:rPr>
                    <w:t xml:space="preserve"> 配置冗余主控板，冗余交换网板，配置千兆光口≥8个（含单模光模块），万兆光口≥4个（含单模光模块）；</w:t>
                  </w:r>
                  <w:r>
                    <w:br/>
                  </w:r>
                  <w:r>
                    <w:rPr>
                      <w:rFonts w:ascii="仿宋_GB2312" w:hAnsi="仿宋_GB2312" w:cs="仿宋_GB2312" w:eastAsia="仿宋_GB2312"/>
                    </w:rPr>
                    <w:t xml:space="preserve"> 配置热插拔冗余电源模块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性能要求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整机吞吐量≥20Gbps</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功能要求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支持PPP、MP、ETHERNET等链路层协议；</w:t>
                  </w:r>
                  <w:r>
                    <w:br/>
                  </w:r>
                  <w:r>
                    <w:rPr>
                      <w:rFonts w:ascii="仿宋_GB2312" w:hAnsi="仿宋_GB2312" w:cs="仿宋_GB2312" w:eastAsia="仿宋_GB2312"/>
                    </w:rPr>
                    <w:t xml:space="preserve"> 支持IPV4静态路由、RIPv1/v2、OSPFv2、BGP、IS-IS、路由策略；</w:t>
                  </w:r>
                  <w:r>
                    <w:br/>
                  </w:r>
                  <w:r>
                    <w:rPr>
                      <w:rFonts w:ascii="仿宋_GB2312" w:hAnsi="仿宋_GB2312" w:cs="仿宋_GB2312" w:eastAsia="仿宋_GB2312"/>
                    </w:rPr>
                    <w:t xml:space="preserve"> 支持IPv6静态路由、RIPng、OSPFv3、IS-ISv6、BGP4+；</w:t>
                  </w:r>
                  <w:r>
                    <w:br/>
                  </w:r>
                  <w:r>
                    <w:rPr>
                      <w:rFonts w:ascii="仿宋_GB2312" w:hAnsi="仿宋_GB2312" w:cs="仿宋_GB2312" w:eastAsia="仿宋_GB2312"/>
                    </w:rPr>
                    <w:t xml:space="preserve"> 支持GRE功能；</w:t>
                  </w:r>
                  <w:r>
                    <w:br/>
                  </w:r>
                  <w:r>
                    <w:rPr>
                      <w:rFonts w:ascii="仿宋_GB2312" w:hAnsi="仿宋_GB2312" w:cs="仿宋_GB2312" w:eastAsia="仿宋_GB2312"/>
                    </w:rPr>
                    <w:t xml:space="preserve"> 支持MPLS VPN功能；</w:t>
                  </w:r>
                  <w:r>
                    <w:br/>
                  </w:r>
                  <w:r>
                    <w:rPr>
                      <w:rFonts w:ascii="仿宋_GB2312" w:hAnsi="仿宋_GB2312" w:cs="仿宋_GB2312" w:eastAsia="仿宋_GB2312"/>
                    </w:rPr>
                    <w:t xml:space="preserve"> 支持SDN、VxLAN、SRv6</w:t>
                  </w:r>
                  <w:r>
                    <w:br/>
                  </w:r>
                  <w:r>
                    <w:rPr>
                      <w:rFonts w:ascii="仿宋_GB2312" w:hAnsi="仿宋_GB2312" w:cs="仿宋_GB2312" w:eastAsia="仿宋_GB2312"/>
                    </w:rPr>
                    <w:t xml:space="preserve"> 支持NSR功能，主备倒换时业务不中断；</w:t>
                  </w:r>
                  <w:r>
                    <w:br/>
                  </w:r>
                  <w:r>
                    <w:rPr>
                      <w:rFonts w:ascii="仿宋_GB2312" w:hAnsi="仿宋_GB2312" w:cs="仿宋_GB2312" w:eastAsia="仿宋_GB2312"/>
                    </w:rPr>
                    <w:t xml:space="preserve"> 交换网板、板卡、子卡支持热插拔功能；</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（2）业务接入交换机技术参数要求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指标要求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硬件形态</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国产品牌交换机，提供≥48个GE电接口+4个10GE光接口（含2个10GE多模光模块）端口均可自适应10M/100M/1000M，支持光转电模块。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交换容量</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≥430Gbps</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包转发率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≥250Mpps</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功能要求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支持Vxlan，且支持BGP EVPN特性，支持QinQ Access VXLAN。</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（3）下一代防火墙技术参数要求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指标要求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硬件形态</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国产品牌防火墙，接口不少于6个千兆电口+4个千兆光口，满配单模光模块，冗余电源模块。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性能要求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网络层吞吐量≥20Gbps；并发连接数≥300万，每秒新建连接数≥10万；</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包转发率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≥250Mpps</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功能要求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包含访问控制、入侵防护、恶意代码清除、应用控制、WEB应用防护等功能,配置入侵特征库、应用识别、URL过滤和病毒库升级服务，病毒库每日更新。</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其他要求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安全设备符合国家安全相关的要求</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（4）VPN防火墙技术参数要求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指标项</w:t>
                  </w:r>
                </w:p>
              </w:tc>
              <w:tc>
                <w:tcPr>
                  <w:tcW w:type="dxa" w:w="638"/>
                </w:tcPr>
                <w:p>
                  <w:pPr>
                    <w:pStyle w:val="null3"/>
                  </w:pPr>
                  <w:r>
                    <w:rPr>
                      <w:rFonts w:ascii="仿宋_GB2312" w:hAnsi="仿宋_GB2312" w:cs="仿宋_GB2312" w:eastAsia="仿宋_GB2312"/>
                    </w:rPr>
                    <w:t>重要性</w:t>
                  </w:r>
                </w:p>
              </w:tc>
              <w:tc>
                <w:tcPr>
                  <w:tcW w:type="dxa" w:w="638"/>
                </w:tcPr>
                <w:p>
                  <w:pPr>
                    <w:pStyle w:val="null3"/>
                  </w:pPr>
                  <w:r>
                    <w:rPr>
                      <w:rFonts w:ascii="仿宋_GB2312" w:hAnsi="仿宋_GB2312" w:cs="仿宋_GB2312" w:eastAsia="仿宋_GB2312"/>
                    </w:rPr>
                    <w:t>指标要求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硬件形态</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国产品牌VPN防火墙，配置千兆电口≥4个，千兆光口≥4（含单模光模块）个。</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性能要求</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吞吐量≥4Gbps，最大并发连接数≥300万，每秒新建连接数≥5万；SSL VPN并发用户≥1000（并出具履约承诺函，承诺按需增加并发用户数）；IPSec VPN隧道数≥2000；</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包转发率</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≥250Mpps</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功能要求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支持路由模式、透明（网桥）模式、混合模式；</w:t>
                  </w:r>
                  <w:r>
                    <w:br/>
                  </w:r>
                  <w:r>
                    <w:rPr>
                      <w:rFonts w:ascii="仿宋_GB2312" w:hAnsi="仿宋_GB2312" w:cs="仿宋_GB2312" w:eastAsia="仿宋_GB2312"/>
                    </w:rPr>
                    <w:t xml:space="preserve"> 支持静态路由、策略路由、RIP、OSPF、BGP等路由协议；</w:t>
                  </w:r>
                  <w:r>
                    <w:br/>
                  </w:r>
                  <w:r>
                    <w:rPr>
                      <w:rFonts w:ascii="仿宋_GB2312" w:hAnsi="仿宋_GB2312" w:cs="仿宋_GB2312" w:eastAsia="仿宋_GB2312"/>
                    </w:rPr>
                    <w:t xml:space="preserve"> 支持IPSec、L2TP、GRE VPN、SSL VPN等功能。</w:t>
                  </w:r>
                  <w:r>
                    <w:br/>
                  </w:r>
                  <w:r>
                    <w:rPr>
                      <w:rFonts w:ascii="仿宋_GB2312" w:hAnsi="仿宋_GB2312" w:cs="仿宋_GB2312" w:eastAsia="仿宋_GB2312"/>
                    </w:rPr>
                    <w:t xml:space="preserve"> 支持国密SM2/3/4算法；</w:t>
                  </w:r>
                  <w:r>
                    <w:br/>
                  </w:r>
                  <w:r>
                    <w:rPr>
                      <w:rFonts w:ascii="仿宋_GB2312" w:hAnsi="仿宋_GB2312" w:cs="仿宋_GB2312" w:eastAsia="仿宋_GB2312"/>
                    </w:rPr>
                    <w:t xml:space="preserve"> 支持IPV6静态、动态路由协议；</w:t>
                  </w:r>
                  <w:r>
                    <w:br/>
                  </w:r>
                  <w:r>
                    <w:rPr>
                      <w:rFonts w:ascii="仿宋_GB2312" w:hAnsi="仿宋_GB2312" w:cs="仿宋_GB2312" w:eastAsia="仿宋_GB2312"/>
                    </w:rPr>
                    <w:t xml:space="preserve"> 支持IPV6下的访问控制、IPSec VPN、DDoS防护等安全功能；</w:t>
                  </w:r>
                  <w:r>
                    <w:br/>
                  </w:r>
                  <w:r>
                    <w:rPr>
                      <w:rFonts w:ascii="仿宋_GB2312" w:hAnsi="仿宋_GB2312" w:cs="仿宋_GB2312" w:eastAsia="仿宋_GB2312"/>
                    </w:rPr>
                    <w:t xml:space="preserve"> 支持SDN功能；</w:t>
                  </w:r>
                  <w:r>
                    <w:br/>
                  </w:r>
                  <w:r>
                    <w:rPr>
                      <w:rFonts w:ascii="仿宋_GB2312" w:hAnsi="仿宋_GB2312" w:cs="仿宋_GB2312" w:eastAsia="仿宋_GB2312"/>
                    </w:rPr>
                    <w:t xml:space="preserve"> 支持SNMPv1、SNMPv2、SNMPv3等网络管理协议。</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其他要求</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安全设备符合国家安全相关的要求</w:t>
                  </w:r>
                </w:p>
              </w:tc>
            </w:tr>
          </w:tbl>
          <w:p>
            <w:pPr>
              <w:pStyle w:val="null3"/>
            </w:pPr>
            <w:r>
              <w:rPr>
                <w:rFonts w:ascii="仿宋_GB2312" w:hAnsi="仿宋_GB2312" w:cs="仿宋_GB2312" w:eastAsia="仿宋_GB2312"/>
              </w:rPr>
              <w:t>4.其他要求</w:t>
            </w:r>
          </w:p>
          <w:p>
            <w:pPr>
              <w:pStyle w:val="null3"/>
            </w:pPr>
            <w:r>
              <w:rPr>
                <w:rFonts w:ascii="仿宋_GB2312" w:hAnsi="仿宋_GB2312" w:cs="仿宋_GB2312" w:eastAsia="仿宋_GB2312"/>
              </w:rPr>
              <w:t>由于医保信息平台所涉及的数据中心、骨干网链路及相关业务系统等当前均正常运行，且医保结算为实时业务，一旦中断将造成重大影响。因此涉及到需要机房设备搬迁及业务割接的，相关备份服务器等硬件资源和全省专线链路等需由投标人自行解决，迁移割接相关费用由投标人自行承担，且迁移割接过程不能暂停或中断业务，投标人需提前做好评估和准备。</w:t>
            </w:r>
          </w:p>
          <w:p>
            <w:pPr>
              <w:pStyle w:val="null3"/>
            </w:pPr>
            <w:r>
              <w:rPr>
                <w:rFonts w:ascii="仿宋_GB2312" w:hAnsi="仿宋_GB2312" w:cs="仿宋_GB2312" w:eastAsia="仿宋_GB2312"/>
              </w:rPr>
              <w:t>说明：（1）技术参数要求中“▲ ” 项代表关键指标，不满足1项扣1分，具体参照评分表要求。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投标人承诺法定工作日5x8小时有不少于2名驻场工程师提供应急响应保障服务，提供服务期内 7*24 小时应急响应保障服务。</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陕西省医疗保障技术服务中心指定地点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各阶段的建设内容交付并达到验收标准后，准备好相关验收资料，向采购人提交验收申请。验收工作由采购人统一组织，采购人与相关人员组成验收小组完成验收工作。双方根据最终验收情况，编写最终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甲方违约责任：由于甲方的原因或因不可抗力的自然因素影响，则服务周期顺延。 乙方违约责任： 1.合同签订后，如乙方擅自中途停止或解除合同，乙方应向甲方双倍返还定金。没有约定定金的，乙方向甲方赔偿服务价款的100%。 2.在甲方提供了必要的工作条件，并且保证了项目款按时到位，乙方未能按合同规定的日期完成服务时，应向甲方赔偿拖期损失费，每天的拖期损失费按合同约定的项目总造价款的万分之 。 3.因天气、交通、政府行为、甲方提供的资料不准确等客观原因造成的服务周期拖期，乙方不承担赔偿责任。 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分期提交项目阶段性成果。如乙方未能按规定的服务周期交付成果，每延误一天，应付逾期违约金人民币万分之五(但由于受天气等不可抗力的自然因素影响，则工期顺延)，逾期10天以上的，甲方除有权终止履行合同外，乙方应承担因延期造成的损失。同时，甲方有权根据乙方所承担服务的质量和进度是否符合要求而对服务的内容进行调整。 6.乙方提供的服务成果质量不合格的，乙方应负责无偿予以重测或采取补救措施，以达到质量要求。因服务成果最终不符合合同要求(而又非甲方提供的资料原因所致)造成后果时，乙方应对因此造成的直接损失负赔偿责任，并承担相应的法律责任。 7.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 %的违约金，同时追究其法律责任。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 （1）投标人需要在线提交所有通过电子化交易平台实施的政府采购项目的响应文件。 （2）根据《陕西省财政厅关于进一步优化政府采购营商环境有关事项的通知》（陕财办采〔2023〕4号）规定，采购人应在成交通知书发出之日起25日与成交供应商签订采购合同，因采购系统文件编制有所限制，文件前后不一致以此处为准。 （3）请投标人在投标文件中提供保证金交纳凭证复印件并电子盖章。 （4）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法定代表人直接参加投标的，须出具法定代表人身份证明，并与营业执照上信息一致。法定代表人授权代表参加投标的，须出具法定代表人授权书，并附法定代表人及授权代表身份证及本单位证明</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资格证明文件.pdf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商务及技术文件.pdf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商务及技术文件.pdf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服务期限及服务地点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总体技术响应</w:t>
            </w:r>
          </w:p>
        </w:tc>
        <w:tc>
          <w:tcPr>
            <w:tcW w:type="dxa" w:w="2492"/>
          </w:tcPr>
          <w:p>
            <w:pPr>
              <w:pStyle w:val="null3"/>
            </w:pPr>
            <w:r>
              <w:rPr>
                <w:rFonts w:ascii="仿宋_GB2312" w:hAnsi="仿宋_GB2312" w:cs="仿宋_GB2312" w:eastAsia="仿宋_GB2312"/>
              </w:rPr>
              <w:t>技术参数响应完全满足或优于招标文件要求得28分。其中“★”为废标项，负偏离按无效文件处理；“▲”为重要技术参数，每负偏离一项扣1分，扣完为止 （注：“★”▲”项必须提供佐证材料，否则视为负偏离，佐证材料可以使用生产厂家官方网站截图或生产厂家产品白皮书或产品实物照片，证书类证明材料须提供国家主管部门颁发的证书或国家主管部门网站截图，指标要求中另有要求除外。未提供有效证明材料或证明材料中内容与所填报指标不一致的，该指标按不满足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1.投标人链路服务承诺：投标人承诺合同签订之后的15个工作日内提供采购人所需所有专线链路的得6分，不提供承诺不得分。（提供加盖公章的承诺函原件） 2.其他承诺：可为采购人提供的其他相关服务内容及服务承诺。根据各投标人提供的服务内容及承诺进行赋分。未承诺的不得分。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驻场要求</w:t>
            </w:r>
          </w:p>
        </w:tc>
        <w:tc>
          <w:tcPr>
            <w:tcW w:type="dxa" w:w="2492"/>
          </w:tcPr>
          <w:p>
            <w:pPr>
              <w:pStyle w:val="null3"/>
            </w:pPr>
            <w:r>
              <w:rPr>
                <w:rFonts w:ascii="仿宋_GB2312" w:hAnsi="仿宋_GB2312" w:cs="仿宋_GB2312" w:eastAsia="仿宋_GB2312"/>
              </w:rPr>
              <w:t>1、投标人提供驻场工程师的能力证明材料，包括但不限于以往工作经验材料、个人能力资质证书、过往实施项目情况等能力证明材料； 满足招标文件要求内容无缺陷：得3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2、响应时间小于5分钟（含）的得3分，响应时间5（不含)-10分钟的得2分，响应时间10（不含)-15分钟的得1分；其它情况不得分。注：需提供承诺函原件并加盖公章。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投标人需提供完善的项目管理方案，具体包含项目管理、项目组织架构及分工、项目进度计划等。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提供网络安全、容灾备份系统规划及设计、灾备及应急演练等服务方案。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网络建设方案</w:t>
            </w:r>
          </w:p>
        </w:tc>
        <w:tc>
          <w:tcPr>
            <w:tcW w:type="dxa" w:w="2492"/>
          </w:tcPr>
          <w:p>
            <w:pPr>
              <w:pStyle w:val="null3"/>
            </w:pPr>
            <w:r>
              <w:rPr>
                <w:rFonts w:ascii="仿宋_GB2312" w:hAnsi="仿宋_GB2312" w:cs="仿宋_GB2312" w:eastAsia="仿宋_GB2312"/>
              </w:rPr>
              <w:t>提供医疗保障网络建设方案（包括数据中心内部、骨干网）整体网络架构设计、IP地址规划（包括数据中心及各地市节点设备）。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运维服务</w:t>
            </w:r>
          </w:p>
        </w:tc>
        <w:tc>
          <w:tcPr>
            <w:tcW w:type="dxa" w:w="2492"/>
          </w:tcPr>
          <w:p>
            <w:pPr>
              <w:pStyle w:val="null3"/>
            </w:pPr>
            <w:r>
              <w:rPr>
                <w:rFonts w:ascii="仿宋_GB2312" w:hAnsi="仿宋_GB2312" w:cs="仿宋_GB2312" w:eastAsia="仿宋_GB2312"/>
              </w:rPr>
              <w:t>为满足后续全省医疗保障骨干网建设及运维需求，并需具备全省范围内机房资源提供和运维能力。投标人须提供全省售后服务体系及服务机构明细表，并提供相关证明材料，加盖投标人公章。评审专家根据投标人提供的服务机构数量、服务区域、保障措施进行赋分。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技术支持及售后服务</w:t>
            </w:r>
          </w:p>
        </w:tc>
        <w:tc>
          <w:tcPr>
            <w:tcW w:type="dxa" w:w="2492"/>
          </w:tcPr>
          <w:p>
            <w:pPr>
              <w:pStyle w:val="null3"/>
            </w:pPr>
            <w:r>
              <w:rPr>
                <w:rFonts w:ascii="仿宋_GB2312" w:hAnsi="仿宋_GB2312" w:cs="仿宋_GB2312" w:eastAsia="仿宋_GB2312"/>
              </w:rPr>
              <w:t>投标人需提供技术支持和售后服务方案：建立有标准化、规范化、完善的技术支持及售后服务体系，提供及时的服务响应；并承诺在服务期内在省医保技术服务中心长期派驻通信专业支撑人员，加强协调与沟通。 满足招标文件要求内容无缺陷：得6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项目经理（1名）具有高级网络规划设计师证书得2分，具有高级工程师证书得2分，其他情况不得分 。注：投标人需提供上述人员相关证书复印件，和2025年1月以来连续3个月投标人为上述人员缴纳 的社保证明材料复印件，并加盖公章，不提供的不得分。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同类项目业绩案例</w:t>
            </w:r>
          </w:p>
        </w:tc>
        <w:tc>
          <w:tcPr>
            <w:tcW w:type="dxa" w:w="2492"/>
          </w:tcPr>
          <w:p>
            <w:pPr>
              <w:pStyle w:val="null3"/>
            </w:pPr>
            <w:r>
              <w:rPr>
                <w:rFonts w:ascii="仿宋_GB2312" w:hAnsi="仿宋_GB2312" w:cs="仿宋_GB2312" w:eastAsia="仿宋_GB2312"/>
              </w:rPr>
              <w:t>供应商提供2022年1月1日（以合同签订日期为准）至今所投类似项目业绩，每份业绩计1分，共计10分；（投标人需提供相关业绩合同复印件，至少包括投标人与用户签订的合同首页、合同关键页、签字盖章页等，缺项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有效的投标报价中的最低价为评标基准价，其价格分为满分。其他投标人的价格分统一按照下列公式计算：投标报价得分＝（评标基准价/投标报价）×10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详见附件：商务及技术文件.pdf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详见附件：医保局中心-合同模版.docx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