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版本号：ZXGJ-ZB14-2025—03920250916001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2025年全省安全宣传“五进”活动项目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ZXGJ-ZB14-2025—039</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2025年全省安全宣传“五进”活动项目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ZXGJ-ZB14-2025—039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2025年全省安全宣传“五进”活动项目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近年来，安全生产与应急管理形势复杂多变，家庭、社区、企业等场景中潜藏的安全隐患威胁着人民群众生命财产安全。推动全社会增强安全意识、提升应急能力，陕西省应急管理厅决定在2025年开展“人人讲安全·个个会应急——查找身边安全隐患”专项行动。后续将结合“五进”持续落地活动，提升全民应急能力。动员全省各界力量，形成“全民参与、共筑安全”的社会氛围，动员全社会力量参与隐患排查，筑牢安全防线。“人人讲安全个个会应急-查找身边应急隐患”2025年陕西省应急管理系列“五进”活动，全年活动共三次（具体活动场景以采购人实际需求为准），结合季节节点与核心主题，提升全民安全意识和应急能力，构建政府主导、媒体社会协同、全民参与的应急管理体系，将传统演练升级为“科技+趣味”沉浸体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采购包1（2025年全省安全宣传“五进”活动项目）：属于专门面向中小企业采购。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采购代理服务费不足陆仟元按照陆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按照采购人及磋商文件及其他相关标准和规定执行；在实施过程中，如果国家或有关部门颁布了新的标准和规定，则供应商应采用新的标准和规定进行实施。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联系人：王超、王涛、白丹</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近年来，安全生产与应急管理形势复杂多变，家庭、社区、企业等场景中潜藏的安全隐患威胁着人民群众生命财产安全。推动全社会增强安全意识、提升应急能力，陕西省应急管理厅决定在2025年开展“人人讲安全·个个会应急——查找身边安全隐患”专项行动。后续将结合“五进”持续落地活动，提升全民应急能力。动员全省各界力量，形成“全民参与、共筑安全”的社会氛围，动员全社会力量参与隐患排查，筑牢安全防线。“人人讲安全个个会应急-查找身边应急隐患”2025年陕西省应急管理系列“五进”活动，全年活动共三次（具体活动场景以采购人实际需求为准），结合季节节点与核心主题，提升全民安全意识和应急能力，构建政府主导、媒体社会协同、全民参与的应急管理体系，将传统演练升级为“科技+趣味”沉浸体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开展2025年全省安全宣传“五进”活动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标的名称：开展2025年全省安全宣传“五进”活动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近年来，安全生产与应急管理形势复杂多变，家庭、社区、企业等场景中潜藏的安全隐患威胁着人民群众生命财产安全。推动全社会增强安全意识、提升应急能力，陕西省应急管理厅决定在</w:t>
            </w:r>
            <w:r>
              <w:rPr>
                <w:rFonts w:ascii="仿宋_GB2312" w:hAnsi="仿宋_GB2312" w:cs="仿宋_GB2312" w:eastAsia="仿宋_GB2312"/>
                <w:sz w:val="21"/>
              </w:rPr>
              <w:t>2025年开展“人人讲安全·个个会应急——查找身边安全隐患”专项行动。后续将结合“五进”持续落地活动，提升全民应急能力。动员全省各界力量，形成“全民参与、共筑安全”的社会氛围，动员全社会力量参与隐患排查，筑牢安全防线。</w:t>
            </w:r>
          </w:p>
          <w:p>
            <w:pPr>
              <w:pStyle w:val="null3"/>
              <w:ind w:firstLine="420"/>
              <w:jc w:val="both"/>
            </w:pPr>
            <w:r>
              <w:rPr>
                <w:rFonts w:ascii="仿宋_GB2312" w:hAnsi="仿宋_GB2312" w:cs="仿宋_GB2312" w:eastAsia="仿宋_GB2312"/>
                <w:sz w:val="21"/>
              </w:rPr>
              <w:t>“人人讲安全个个会应急-查找身边应急隐患”2025年陕西省应急管理系列“五进”活动，全年活动共三次（具体活动场景以采购人实际需求为准），结合季节节点与核心主题，提升全民安全意识和应急能力，构建政府主导、媒体社会协同、全民参与的应急管理体系，将传统演练升级为“科技+趣味”沉浸体验。</w:t>
            </w:r>
          </w:p>
          <w:p>
            <w:pPr>
              <w:pStyle w:val="null3"/>
              <w:ind w:firstLine="420"/>
              <w:jc w:val="both"/>
            </w:pPr>
            <w:r>
              <w:rPr>
                <w:rFonts w:ascii="仿宋_GB2312" w:hAnsi="仿宋_GB2312" w:cs="仿宋_GB2312" w:eastAsia="仿宋_GB2312"/>
                <w:sz w:val="21"/>
              </w:rPr>
              <w:t>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ind w:firstLine="420"/>
              <w:jc w:val="both"/>
            </w:pPr>
            <w:r>
              <w:rPr>
                <w:rFonts w:ascii="仿宋_GB2312" w:hAnsi="仿宋_GB2312" w:cs="仿宋_GB2312" w:eastAsia="仿宋_GB2312"/>
                <w:sz w:val="21"/>
              </w:rPr>
              <w:t>二、服务内容</w:t>
            </w:r>
          </w:p>
          <w:p>
            <w:pPr>
              <w:pStyle w:val="null3"/>
              <w:jc w:val="both"/>
            </w:pPr>
            <w:r>
              <w:rPr>
                <w:rFonts w:ascii="仿宋_GB2312" w:hAnsi="仿宋_GB2312" w:cs="仿宋_GB2312" w:eastAsia="仿宋_GB2312"/>
                <w:sz w:val="21"/>
              </w:rPr>
              <w:t>2.1 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1）省级党报党刊专刊、法治类媒体专刊发布不少于12篇文章，全周期媒体矩阵宣传不少于30+媒体刊登，线上+线下推广策略。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2）活动分为预热造势、过程直播、成果扩散，每场活动实现线上线下覆盖10万人次，安全隐患科普内容曝光量超20万次。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3）预热要求主题海报、发起“安全知识快问快答”线上挑战，社区、校园大屏预热广告栏张贴、达人活动预告。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主播现场直播，场地搭建（供应商自行提供场地），科技融合、活动礼品等多形式展现，启动仪式现场搭建设计场地在100平米以上，应急包等活动礼品不少于500份，每场活动制作宣传片、图片、直播等、矩阵媒体发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5）3次活动结束后形成制作汇报宣传片、结案总结复盘报告书、整合矩阵媒体发布链接、图片集电子版制作等内容。查找身边安全隐患，守牢安全发展底线，强化社会影响力。</w:t>
            </w:r>
          </w:p>
          <w:p>
            <w:pPr>
              <w:pStyle w:val="null3"/>
              <w:jc w:val="both"/>
            </w:pPr>
            <w:r>
              <w:rPr>
                <w:rFonts w:ascii="仿宋_GB2312" w:hAnsi="仿宋_GB2312" w:cs="仿宋_GB2312" w:eastAsia="仿宋_GB2312"/>
                <w:sz w:val="21"/>
              </w:rPr>
              <w:t>2.2服务、产品（如有）执行的标准、规范：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1）国家标准、规范  /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2）行业标准、规范  /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3）地方标准、规范  /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4）团体标准、规范  /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5）企业标准、规范  /  。</w:t>
            </w:r>
          </w:p>
          <w:p>
            <w:pPr>
              <w:pStyle w:val="null3"/>
              <w:jc w:val="both"/>
            </w:pPr>
            <w:r>
              <w:rPr>
                <w:rFonts w:ascii="仿宋_GB2312" w:hAnsi="仿宋_GB2312" w:cs="仿宋_GB2312" w:eastAsia="仿宋_GB2312"/>
                <w:sz w:val="21"/>
              </w:rPr>
              <w:t>2.3本章2.2条款未明确服务（产品）执行标准、规范的，按下列方法进行选择：</w:t>
            </w:r>
          </w:p>
          <w:p>
            <w:pPr>
              <w:pStyle w:val="null3"/>
              <w:jc w:val="both"/>
            </w:pPr>
            <w:r>
              <w:rPr>
                <w:rFonts w:ascii="仿宋_GB2312" w:hAnsi="仿宋_GB2312" w:cs="仿宋_GB2312" w:eastAsia="仿宋_GB2312"/>
                <w:sz w:val="21"/>
              </w:rPr>
              <w:t>□顺序执行：国家标准→行业标准→地方标准→ 团体标准→企业标准（有国家标准按国家标准执行，没有国家标 准按行业标准，以此类推）；</w:t>
            </w:r>
          </w:p>
          <w:p>
            <w:pPr>
              <w:pStyle w:val="null3"/>
              <w:jc w:val="both"/>
            </w:pPr>
            <w:r>
              <w:rPr>
                <w:rFonts w:ascii="仿宋_GB2312" w:hAnsi="仿宋_GB2312" w:cs="仿宋_GB2312" w:eastAsia="仿宋_GB2312"/>
                <w:sz w:val="21"/>
              </w:rPr>
              <w:t>□最高标准执行：国家标准，行业标准，地方标准，团体标准，企业标准（哪个标准高执行哪个标准）</w:t>
            </w:r>
          </w:p>
          <w:p>
            <w:pPr>
              <w:pStyle w:val="null3"/>
              <w:jc w:val="both"/>
            </w:pPr>
            <w:r>
              <w:rPr>
                <w:rFonts w:ascii="仿宋_GB2312" w:hAnsi="仿宋_GB2312" w:cs="仿宋_GB2312" w:eastAsia="仿宋_GB2312"/>
                <w:sz w:val="21"/>
              </w:rPr>
              <w:t>√必须执行：国家（行业）强制性标准。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按项目服务要求，投入有利于本项目顺利实施的各类设施设备。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合同签订后至项目活动结束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根据项目资料、数据成果等进行验收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合同签订项目完成且验收合格后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 一致，不允许修改和补充。提交地点：西安市未央区西安经济技术开发区凤城十二路首创禧悦里25幢A座16层。二、供应商的磋商报价是供应商响应磋商项目要求的全部工作内容的价格体现，包括供应商完成本项目所需的直接费、间接费、利润、税金及其它相关的一切费用。包括但不限于：人工费、设备费、管理费、验收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（1）供应商的营业执照等证明文件，自然人的身份证明； (2) 法定代表人参加磋商的，提供本人身份证复印件；法定代表人授权他人参加磋商的，提供法定代表人委托授权书并出示被授权代表的身份证复印件； （3）供应商2024年6月至今已缴纳任意时段任意税种纳税凭证或税务机关开具的完税证明（个人所得税除外），依法免税的应提供相关文件证明； （4）供应商2024年6月至今已缴存的任意时段的社会保障资金缴存单据或社保机构开具的社会保险参保缴费情况证明，依法不需要缴纳社会保障资金的供应商应提供相关文件证明；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（5）具有履行合同所必需的设备和专业技术能力的承诺；（6）参加本次采购前3年内，在经营活动中没有重大违法记录的书面声明。（7）供应商不得被列入“信用中国”网站(https://www.creditchina.gov.cn/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 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2023或2024年度经审计的财务会计报告或其提交响应文件截止时间前3个月内基本账户开户银行出具的资信证明。（以上形式的资料提供任何一种即可） 要求： （1）供应商是企业法人的，应提供2023或2024全年度经审计的供应商财务报告，包括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（2）供应商是执行《小企业会计准则》的小微企业的，应提供2023或2024全年度经审计的供应商财务报告，至少包括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2023或2024全年度经审计的供应商财务报告，至少包括《资产负债表》《收入支出表或者收入费用表》《财政补助收入支出表》及其附注，或者提交响应文件截止时间前3个月内基本账户开户银行出具的资信证明（附基本存款账户信息）； （4）部分其他组织和自然人，提供提交响应文件截止时间前3个月内基本账户开户银行出具的资信证明（附账户信息）； （5）供应商是民办非企业单位的，应提供2023或2024全年度经审计的供应商财务报告，包括《资产负债表》《业务活动表》《现金流量表》及其附注或者提交响应文件截止时间前3个月内基本账户开户银行出具的资信证明（附账户信息）； （6）供应商成立不到1年（至提交响应文件截止时间）的，提供成立后任意时段的资产负债表，或提交响应文件截止时间前3个月内基本账户开户银行出具的资信证明（附基本存款账户信息）。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对本项目的采购需求、实施目的、实施意义等具备充分的认识。 ①对本项目的总体认识定位准确，需求理解深刻，表述清晰得12分；②对本项目的总体认识定位较准确，需求较清晰得9分；③对本项目的总体认识定位基本准确，需求基本理解项目，表述一般6分；④总体认识定位不准确，需求表述不清晰，但内容均围绕项目展开得4分；⑤提供了需求理解分析，但内容简单，与项目关联度不大得2分；⑥此项未提供者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针对本项目制订切实可行的服务方案，方案内容包括但不限于：对项目前期组织策划、实施方案、现场执行及场地搭建效果、后期总结等内容。 ①方案完整全面、科学合理、可操作性强，完全满足采购人需求得12分；②方案全面，可操作性较强，基本满足采购人需求得9分；③方案基本完善，可操作性一般得6分；④方案简单，内容空泛得4分；⑤方案内容有缺漏，不能满足采购人需求得2分；⑥此项未提供者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对本项目提供科学、可行的宣传推广活动方案（活动预热、过程直播、宣传片等），满足项目实施要求。 ①方案完整全面、科学合理、可操作性强，完全满足采购人需求得12分；②方案全面，可操作性较强，基本满足采购人需求得9分；③方案基本完善，可操作性一般得6分；④方案简单，内容空泛得4分；⑤方案内容有缺漏，不能满足采购人需求得2分；⑥此项未提供者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服务质量保证措施及承诺</w:t>
            </w:r>
          </w:p>
        </w:tc>
        <w:tc>
          <w:tcPr>
            <w:tcW w:type="dxa" w:w="2492"/>
          </w:tcPr>
          <w:p>
            <w:pPr>
              <w:pStyle w:val="null3"/>
            </w:pPr>
            <w:r>
              <w:rPr>
                <w:rFonts w:ascii="仿宋_GB2312" w:hAnsi="仿宋_GB2312" w:cs="仿宋_GB2312" w:eastAsia="仿宋_GB2312"/>
              </w:rPr>
              <w:t>对项目质量保障措施、后续相关服务承诺进行评审。①质量保障措施完善、有切实可行的后续相关服务承诺得8分；②质量保障措施基本完善、后续相关服务承诺有一定可行性得6分；③提供了常规通用的质量保障措施和后续相关服务承诺得4分；④质量保障措施有欠缺、后续相关服务承诺不完善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进度计划安排合理，实施进度保证措施需满足采购人需求，接到工作任务委托后能够尽快启动相关表演工作，并按期高质量完成受委托工作内容。①进度计划详细、完善、紧凑的且合理得8分；②进度计划较为满足且合理性一般得6分；③进度计划基本满足本项目实际需求得4分；④进度计划方案内容不详细、笼统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在项目执行过程中因不可抗力因素导致媒体宣传或现场活动临时调整等突发情况出现，供应商具有提前告知机制及合理的应急处理方案。 ①措施及方案全面、针对性强、可实施性强得8分；②措施及方案较全面、有一定针对性、基本合理可行得6分；③措施及方案较简单、针对性一般得4分；④措施方案不详细、笼统得2分；⑤此项未提供者不计分。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拟投入的团队人员方案</w:t>
            </w:r>
          </w:p>
        </w:tc>
        <w:tc>
          <w:tcPr>
            <w:tcW w:type="dxa" w:w="2492"/>
          </w:tcPr>
          <w:p>
            <w:pPr>
              <w:pStyle w:val="null3"/>
            </w:pPr>
            <w:r>
              <w:rPr>
                <w:rFonts w:ascii="仿宋_GB2312" w:hAnsi="仿宋_GB2312" w:cs="仿宋_GB2312" w:eastAsia="仿宋_GB2312"/>
              </w:rPr>
              <w:t>针对本项目提供拟投入的团队人员方案，组织机构设置合理，管理人员及技术人员配备数量充足、人员职责明确、分工清晰合理、相关项目实施经验丰富，满足项目实施要求。 ①人员配备完善合理、工作经验丰富得7分；②人员配备分工较明确，工作经验丰富一般得4分；③人员配备分工不明确，工作经验丰富较差得2分；④此项未提供者不计分。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符合本项目实际情况。①合理化建议合理，针对性强，可实施度高，满足本项目实际需求得7分；②合理化建议较为合理，针对性较强，可实施度一般，基本满足本项目实际需求得4分；③合理化建议不合理，不具有针对性，可实施较差，不满足本项目实际需求得2分；④此项未提供者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提供2022年1月1日至今类似相关项目业绩，每个业绩计2分，满分6分。（业绩资料提供合同复印件并加盖公章。以合同签订日期为准。）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