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版本号：SCZE2025-ZB-2406-00120250911001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未央校区16#学生公寓项目（EPC）监理</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SCZE2025-ZB-2406-001</w:t>
      </w:r>
      <w:r>
        <w:br/>
      </w:r>
      <w:r>
        <w:br/>
      </w:r>
      <w:r>
        <w:br/>
      </w:r>
    </w:p>
    <w:p>
      <w:pPr>
        <w:pStyle w:val="null3"/>
        <w:jc w:val="center"/>
        <w:outlineLvl w:val="2"/>
      </w:pPr>
      <w:r>
        <w:rPr>
          <w:rFonts w:ascii="仿宋_GB2312" w:hAnsi="仿宋_GB2312" w:cs="仿宋_GB2312" w:eastAsia="仿宋_GB2312"/>
          <w:sz w:val="28"/>
          <w:b/>
        </w:rPr>
        <w:t>西安工业大学</w:t>
      </w:r>
    </w:p>
    <w:p>
      <w:pPr>
        <w:pStyle w:val="null3"/>
        <w:jc w:val="center"/>
        <w:outlineLvl w:val="2"/>
      </w:pPr>
      <w:r>
        <w:rPr>
          <w:rFonts w:ascii="仿宋_GB2312" w:hAnsi="仿宋_GB2312" w:cs="仿宋_GB2312" w:eastAsia="仿宋_GB2312"/>
          <w:sz w:val="28"/>
          <w:b/>
        </w:rPr>
        <w:t>陕西省采购招标有限责任公司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2025年09月11日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陕西省采购招标有限责任公司</w:t>
      </w:r>
      <w:r>
        <w:rPr>
          <w:rFonts w:ascii="仿宋_GB2312" w:hAnsi="仿宋_GB2312" w:cs="仿宋_GB2312" w:eastAsia="仿宋_GB2312"/>
        </w:rPr>
        <w:t>（以下简称“代理机构”）受</w:t>
      </w:r>
      <w:r>
        <w:rPr>
          <w:rFonts w:ascii="仿宋_GB2312" w:hAnsi="仿宋_GB2312" w:cs="仿宋_GB2312" w:eastAsia="仿宋_GB2312"/>
        </w:rPr>
        <w:t>西安工业大学</w:t>
      </w:r>
      <w:r>
        <w:rPr>
          <w:rFonts w:ascii="仿宋_GB2312" w:hAnsi="仿宋_GB2312" w:cs="仿宋_GB2312" w:eastAsia="仿宋_GB2312"/>
        </w:rPr>
        <w:t>委托，拟对</w:t>
      </w:r>
      <w:r>
        <w:rPr>
          <w:rFonts w:ascii="仿宋_GB2312" w:hAnsi="仿宋_GB2312" w:cs="仿宋_GB2312" w:eastAsia="仿宋_GB2312"/>
        </w:rPr>
        <w:t>未央校区16#学生公寓项目（EPC）监理</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SCZE2025-ZB-2406-001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未央校区16#学生公寓项目（EPC）监理</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西安工业大学未央校区 16#学生公寓项目（EPC）建筑层数为地上13层，地下1层建筑，总建筑面积为 19384.51 ㎡，地上建筑面积 16784.87 ㎡，地下建筑面积 2599.64 ㎡，主要包括：学生宿舍、后勤及附属用房、设备用房、人防工程（兼车库）等。</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1、授权委托书或法人身份证明：（1）法定代表人或单位负责人投标的，应提供法定代表人或单位负责人身份证明； （2）授权代表投标的，应提供法定代表人或单位负责人身份证明、授权委托书及授权代表在本单位缴纳养老保险证明。</w:t>
      </w:r>
    </w:p>
    <w:p>
      <w:pPr>
        <w:pStyle w:val="null3"/>
      </w:pPr>
      <w:r>
        <w:rPr>
          <w:rFonts w:ascii="仿宋_GB2312" w:hAnsi="仿宋_GB2312" w:cs="仿宋_GB2312" w:eastAsia="仿宋_GB2312"/>
        </w:rPr>
        <w:t>2、信用要求：投标人未被列入“信用中国”网站(www.creditchina.gov.cn)“失信被执行人或重大税收违法失信主体或政府采购严重违法失信行为”记录名单； 不处于中国政府采购网(www.ccgp.gov.cn)“政府采购严重违法失信行为信息记录”中的禁止参加政府采购活动期间。 （以采购代理机构于递交投标文件截止时间当天进行资格审查时在“信用中国”网站（www.creditchina.gov.cn）及中国政府采购网(www.ccgp.gov.cn)查询结果为准）。</w:t>
      </w:r>
    </w:p>
    <w:p>
      <w:pPr>
        <w:pStyle w:val="null3"/>
      </w:pPr>
      <w:r>
        <w:rPr>
          <w:rFonts w:ascii="仿宋_GB2312" w:hAnsi="仿宋_GB2312" w:cs="仿宋_GB2312" w:eastAsia="仿宋_GB2312"/>
        </w:rPr>
        <w:t>3、资格要求：投标人须具备工程监理综合资质或房屋建筑工程监理乙级及以上资质：拟派项目总监理工程师具有房屋建筑工程专业国家注册监理工程师资格，在本单位注册且无在监工程；投标人及拟派项目总监理工程师基本信息应在陕西省住房和城乡建设厅官网可查询。</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西安工业大学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西安市未央区学府中路2号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梁老师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029-86173142</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陕西省采购招标有限责任公司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西安市高新区唐延南路都市之门C座9层招标五部</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关微、马超</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029-88490543</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采购包1：900,000.00元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采购包1保证金金额：10,000.00元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开户名称：陕西省采购招标有限责任公司</w:t>
            </w:r>
          </w:p>
          <w:p>
            <w:pPr>
              <w:pStyle w:val="null3"/>
            </w:pPr>
            <w:r>
              <w:rPr>
                <w:rFonts w:ascii="仿宋_GB2312" w:hAnsi="仿宋_GB2312" w:cs="仿宋_GB2312" w:eastAsia="仿宋_GB2312"/>
              </w:rPr>
              <w:t>开户银行：中国银行西安南郊支行营业部</w:t>
            </w:r>
          </w:p>
          <w:p>
            <w:pPr>
              <w:pStyle w:val="null3"/>
            </w:pPr>
            <w:r>
              <w:rPr>
                <w:rFonts w:ascii="仿宋_GB2312" w:hAnsi="仿宋_GB2312" w:cs="仿宋_GB2312" w:eastAsia="仿宋_GB2312"/>
              </w:rPr>
              <w:t>银行账号：102860079228</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本采购包履约保证金为合同金额的10%</w:t>
            </w:r>
          </w:p>
          <w:p>
            <w:pPr>
              <w:pStyle w:val="null3"/>
            </w:pPr>
            <w:r>
              <w:rPr>
                <w:rFonts w:ascii="仿宋_GB2312" w:hAnsi="仿宋_GB2312" w:cs="仿宋_GB2312" w:eastAsia="仿宋_GB2312"/>
              </w:rPr>
              <w:t>说明：监理人签订合同前5个日历日向委托人交纳中标金额10%的履约保函。</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代理服务费收费标准：中标单位在领取中标通知书前，须向采购代理机构支付招标代理服务费，招标代理服务费由采购人与采购代理机构约定： 参照原国家计委计价格〔2002〕1980号文的计算方法按标准下浮55%（按标段）收取。 中标单位的招标代理服务费交纳信息 银行户名：陕西省采购招标有限责任公司 开户银行：中国光大银行西安友谊路支行 账 号：78560188000095264 联 系 人：财务部 联系电话：029-85263975</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西安工业大学</w:t>
      </w:r>
      <w:r>
        <w:rPr>
          <w:rFonts w:ascii="仿宋_GB2312" w:hAnsi="仿宋_GB2312" w:cs="仿宋_GB2312" w:eastAsia="仿宋_GB2312"/>
        </w:rPr>
        <w:t>和</w:t>
      </w:r>
      <w:r>
        <w:rPr>
          <w:rFonts w:ascii="仿宋_GB2312" w:hAnsi="仿宋_GB2312" w:cs="仿宋_GB2312" w:eastAsia="仿宋_GB2312"/>
        </w:rPr>
        <w:t>陕西省采购招标有限责任公司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西安工业大学</w:t>
      </w:r>
      <w:r>
        <w:rPr>
          <w:rFonts w:ascii="仿宋_GB2312" w:hAnsi="仿宋_GB2312" w:cs="仿宋_GB2312" w:eastAsia="仿宋_GB2312"/>
        </w:rPr>
        <w:t>负责解释。除上述招标文件内容，其他内容由</w:t>
      </w:r>
      <w:r>
        <w:rPr>
          <w:rFonts w:ascii="仿宋_GB2312" w:hAnsi="仿宋_GB2312" w:cs="仿宋_GB2312" w:eastAsia="仿宋_GB2312"/>
        </w:rPr>
        <w:t>陕西省采购招标有限责任公司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西安工业大学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陕西省采购招标有限责任公司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联系人：综合办公室</w:t>
      </w:r>
    </w:p>
    <w:p>
      <w:pPr>
        <w:pStyle w:val="null3"/>
      </w:pPr>
      <w:r>
        <w:rPr>
          <w:rFonts w:ascii="仿宋_GB2312" w:hAnsi="仿宋_GB2312" w:cs="仿宋_GB2312" w:eastAsia="仿宋_GB2312"/>
        </w:rPr>
        <w:t>联系电话：029-85235014</w:t>
      </w:r>
    </w:p>
    <w:p>
      <w:pPr>
        <w:pStyle w:val="null3"/>
      </w:pPr>
      <w:r>
        <w:rPr>
          <w:rFonts w:ascii="仿宋_GB2312" w:hAnsi="仿宋_GB2312" w:cs="仿宋_GB2312" w:eastAsia="仿宋_GB2312"/>
        </w:rPr>
        <w:t>地址：西安市高新区唐延南路都市之门C座9层</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西安工业大学未央校区 16#学生公寓项目（EPC）建筑层数为地上 13 层，地下 1 层建筑，总建筑面积为 19384.51 ㎡，地上建筑面积 16784.87 ㎡，地下建筑面积 2599.64 ㎡，主要包括：学生宿舍、后勤及附属用房、设备用房、人防工程（兼车库）等。</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900,000.00</w:t>
      </w:r>
    </w:p>
    <w:p>
      <w:pPr>
        <w:pStyle w:val="null3"/>
      </w:pPr>
      <w:r>
        <w:rPr>
          <w:rFonts w:ascii="仿宋_GB2312" w:hAnsi="仿宋_GB2312" w:cs="仿宋_GB2312" w:eastAsia="仿宋_GB2312"/>
        </w:rPr>
        <w:t>采购包最高限价（元）: 774,300.00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西安工业大学未央校区16#学生公寓项目（EPC）监理</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标的名称：西安工业大学未央校区16#学生公寓项目（EPC）监理</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25"/>
              <w:jc w:val="left"/>
            </w:pPr>
            <w:r>
              <w:rPr>
                <w:rFonts w:ascii="仿宋_GB2312" w:hAnsi="仿宋_GB2312" w:cs="仿宋_GB2312" w:eastAsia="仿宋_GB2312"/>
                <w:sz w:val="24"/>
              </w:rPr>
              <w:t>1</w:t>
            </w:r>
            <w:r>
              <w:rPr>
                <w:rFonts w:ascii="仿宋_GB2312" w:hAnsi="仿宋_GB2312" w:cs="仿宋_GB2312" w:eastAsia="仿宋_GB2312"/>
                <w:sz w:val="24"/>
              </w:rPr>
              <w:t>、项目概况</w:t>
            </w:r>
          </w:p>
          <w:p>
            <w:pPr>
              <w:pStyle w:val="null3"/>
              <w:ind w:firstLine="420"/>
              <w:jc w:val="left"/>
            </w:pPr>
            <w:r>
              <w:rPr>
                <w:rFonts w:ascii="仿宋_GB2312" w:hAnsi="仿宋_GB2312" w:cs="仿宋_GB2312" w:eastAsia="仿宋_GB2312"/>
                <w:sz w:val="24"/>
              </w:rPr>
              <w:t xml:space="preserve">西安工业大学未央校区 16#学生公寓项目（EPC）建筑层数为地上 13 层，地下 1 层建筑，总建筑面积为 19384.51 </w:t>
            </w:r>
            <w:r>
              <w:rPr>
                <w:rFonts w:ascii="仿宋_GB2312" w:hAnsi="仿宋_GB2312" w:cs="仿宋_GB2312" w:eastAsia="仿宋_GB2312"/>
                <w:sz w:val="24"/>
              </w:rPr>
              <w:t>㎡</w:t>
            </w:r>
            <w:r>
              <w:rPr>
                <w:rFonts w:ascii="仿宋_GB2312" w:hAnsi="仿宋_GB2312" w:cs="仿宋_GB2312" w:eastAsia="仿宋_GB2312"/>
                <w:sz w:val="24"/>
              </w:rPr>
              <w:t xml:space="preserve">，地上建筑面积 16784.87 </w:t>
            </w:r>
            <w:r>
              <w:rPr>
                <w:rFonts w:ascii="仿宋_GB2312" w:hAnsi="仿宋_GB2312" w:cs="仿宋_GB2312" w:eastAsia="仿宋_GB2312"/>
                <w:sz w:val="24"/>
              </w:rPr>
              <w:t>㎡</w:t>
            </w:r>
            <w:r>
              <w:rPr>
                <w:rFonts w:ascii="仿宋_GB2312" w:hAnsi="仿宋_GB2312" w:cs="仿宋_GB2312" w:eastAsia="仿宋_GB2312"/>
                <w:sz w:val="24"/>
              </w:rPr>
              <w:t xml:space="preserve">，地下建筑面积 2599.64 </w:t>
            </w:r>
            <w:r>
              <w:rPr>
                <w:rFonts w:ascii="仿宋_GB2312" w:hAnsi="仿宋_GB2312" w:cs="仿宋_GB2312" w:eastAsia="仿宋_GB2312"/>
                <w:sz w:val="24"/>
              </w:rPr>
              <w:t>㎡</w:t>
            </w:r>
            <w:r>
              <w:rPr>
                <w:rFonts w:ascii="仿宋_GB2312" w:hAnsi="仿宋_GB2312" w:cs="仿宋_GB2312" w:eastAsia="仿宋_GB2312"/>
                <w:sz w:val="24"/>
              </w:rPr>
              <w:t>，主要包括：学生宿舍、后勤及附属用房、设备用房、人防工程（兼车库）等。</w:t>
            </w:r>
          </w:p>
          <w:p>
            <w:pPr>
              <w:pStyle w:val="null3"/>
              <w:ind w:firstLine="425"/>
              <w:jc w:val="left"/>
            </w:pPr>
            <w:r>
              <w:rPr>
                <w:rFonts w:ascii="仿宋_GB2312" w:hAnsi="仿宋_GB2312" w:cs="仿宋_GB2312" w:eastAsia="仿宋_GB2312"/>
                <w:sz w:val="24"/>
              </w:rPr>
              <w:t>2</w:t>
            </w:r>
            <w:r>
              <w:rPr>
                <w:rFonts w:ascii="仿宋_GB2312" w:hAnsi="仿宋_GB2312" w:cs="仿宋_GB2312" w:eastAsia="仿宋_GB2312"/>
                <w:sz w:val="24"/>
              </w:rPr>
              <w:t>、监理范围</w:t>
            </w:r>
          </w:p>
          <w:p>
            <w:pPr>
              <w:pStyle w:val="null3"/>
              <w:ind w:firstLine="425"/>
              <w:jc w:val="left"/>
            </w:pPr>
            <w:r>
              <w:rPr>
                <w:rFonts w:ascii="仿宋_GB2312" w:hAnsi="仿宋_GB2312" w:cs="仿宋_GB2312" w:eastAsia="仿宋_GB2312"/>
                <w:sz w:val="24"/>
              </w:rPr>
              <w:t>本项目施工阶段和保修阶段全部监理服务</w:t>
            </w:r>
          </w:p>
          <w:p>
            <w:pPr>
              <w:pStyle w:val="null3"/>
              <w:ind w:firstLine="425"/>
              <w:jc w:val="left"/>
            </w:pPr>
            <w:r>
              <w:rPr>
                <w:rFonts w:ascii="仿宋_GB2312" w:hAnsi="仿宋_GB2312" w:cs="仿宋_GB2312" w:eastAsia="仿宋_GB2312"/>
                <w:sz w:val="24"/>
              </w:rPr>
              <w:t>3</w:t>
            </w:r>
            <w:r>
              <w:rPr>
                <w:rFonts w:ascii="仿宋_GB2312" w:hAnsi="仿宋_GB2312" w:cs="仿宋_GB2312" w:eastAsia="仿宋_GB2312"/>
                <w:sz w:val="24"/>
              </w:rPr>
              <w:t>、服务内容及要求</w:t>
            </w:r>
          </w:p>
          <w:p>
            <w:pPr>
              <w:pStyle w:val="null3"/>
              <w:ind w:firstLine="425"/>
              <w:jc w:val="left"/>
            </w:pPr>
            <w:r>
              <w:rPr>
                <w:rFonts w:ascii="仿宋_GB2312" w:hAnsi="仿宋_GB2312" w:cs="仿宋_GB2312" w:eastAsia="仿宋_GB2312"/>
                <w:sz w:val="24"/>
              </w:rPr>
              <w:t>监理服务内容包括对整个工程的“四控制、两管理、一协调”，即：投资控制、质量控制、进度控制、安全控制；合同管理、信息管理；协调有关单位之间的工作关系，并履行建设工程安全生产管理监理职责。</w:t>
            </w:r>
          </w:p>
          <w:p>
            <w:pPr>
              <w:pStyle w:val="null3"/>
              <w:ind w:firstLine="425"/>
              <w:jc w:val="left"/>
            </w:pPr>
            <w:r>
              <w:rPr>
                <w:rFonts w:ascii="仿宋_GB2312" w:hAnsi="仿宋_GB2312" w:cs="仿宋_GB2312" w:eastAsia="仿宋_GB2312"/>
                <w:sz w:val="24"/>
              </w:rPr>
              <w:t>4</w:t>
            </w:r>
            <w:r>
              <w:rPr>
                <w:rFonts w:ascii="仿宋_GB2312" w:hAnsi="仿宋_GB2312" w:cs="仿宋_GB2312" w:eastAsia="仿宋_GB2312"/>
                <w:sz w:val="24"/>
              </w:rPr>
              <w:t>、采购预算：900000元（</w:t>
            </w:r>
            <w:r>
              <w:rPr>
                <w:rFonts w:ascii="仿宋_GB2312" w:hAnsi="仿宋_GB2312" w:cs="仿宋_GB2312" w:eastAsia="仿宋_GB2312"/>
                <w:sz w:val="24"/>
              </w:rPr>
              <w:t>招标工程估算额约7743万元）</w:t>
            </w:r>
            <w:r>
              <w:rPr>
                <w:rFonts w:ascii="仿宋_GB2312" w:hAnsi="仿宋_GB2312" w:cs="仿宋_GB2312" w:eastAsia="仿宋_GB2312"/>
                <w:sz w:val="24"/>
              </w:rPr>
              <w:t>，限价为774300元，</w:t>
            </w:r>
            <w:r>
              <w:rPr>
                <w:rFonts w:ascii="仿宋_GB2312" w:hAnsi="仿宋_GB2312" w:cs="仿宋_GB2312" w:eastAsia="仿宋_GB2312"/>
                <w:sz w:val="24"/>
              </w:rPr>
              <w:t>超过本项目限价的报价为无效报价。</w:t>
            </w:r>
          </w:p>
          <w:p>
            <w:pPr>
              <w:pStyle w:val="null3"/>
              <w:ind w:firstLine="425"/>
              <w:jc w:val="left"/>
            </w:pPr>
            <w:r>
              <w:rPr>
                <w:rFonts w:ascii="仿宋_GB2312" w:hAnsi="仿宋_GB2312" w:cs="仿宋_GB2312" w:eastAsia="仿宋_GB2312"/>
                <w:sz w:val="24"/>
              </w:rPr>
              <w:t>5</w:t>
            </w:r>
            <w:r>
              <w:rPr>
                <w:rFonts w:ascii="仿宋_GB2312" w:hAnsi="仿宋_GB2312" w:cs="仿宋_GB2312" w:eastAsia="仿宋_GB2312"/>
                <w:sz w:val="24"/>
              </w:rPr>
              <w:t>、监理服务期</w:t>
            </w:r>
          </w:p>
          <w:p>
            <w:pPr>
              <w:pStyle w:val="null3"/>
              <w:ind w:firstLine="425"/>
              <w:jc w:val="left"/>
            </w:pPr>
            <w:r>
              <w:rPr>
                <w:rFonts w:ascii="仿宋_GB2312" w:hAnsi="仿宋_GB2312" w:cs="仿宋_GB2312" w:eastAsia="仿宋_GB2312"/>
                <w:sz w:val="24"/>
              </w:rPr>
              <w:t>监理服务期以监理合同签订后至施工单位完成本工程的全部施工及保修内容作为最终监理服务期。</w:t>
            </w:r>
          </w:p>
          <w:p>
            <w:pPr>
              <w:pStyle w:val="null3"/>
              <w:ind w:firstLine="425"/>
              <w:jc w:val="left"/>
            </w:pPr>
            <w:r>
              <w:rPr>
                <w:rFonts w:ascii="仿宋_GB2312" w:hAnsi="仿宋_GB2312" w:cs="仿宋_GB2312" w:eastAsia="仿宋_GB2312"/>
                <w:sz w:val="24"/>
              </w:rPr>
              <w:t>6</w:t>
            </w:r>
            <w:r>
              <w:rPr>
                <w:rFonts w:ascii="仿宋_GB2312" w:hAnsi="仿宋_GB2312" w:cs="仿宋_GB2312" w:eastAsia="仿宋_GB2312"/>
                <w:sz w:val="24"/>
              </w:rPr>
              <w:t>、质量要求</w:t>
            </w:r>
          </w:p>
          <w:p>
            <w:pPr>
              <w:pStyle w:val="null3"/>
            </w:pPr>
            <w:r>
              <w:rPr>
                <w:rFonts w:ascii="仿宋_GB2312" w:hAnsi="仿宋_GB2312" w:cs="仿宋_GB2312" w:eastAsia="仿宋_GB2312"/>
                <w:sz w:val="24"/>
              </w:rPr>
              <w:t>严格执行《建设工程监理规范》GB50319-2013,工程质量要求符合《建筑工程施工质量验收规范》的标准，必须达到合格或以上标准。</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满足本项目采购需求</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满足本项目采购需求</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满足本项目采购需求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监理服务期以监理合同签订后至施工单位完成本工程的全部施工及保修内容作为最终监理服务期。</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详见合同附件</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签订监理服务合同并提交履约保函、项目取得施工许可证开工后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13.00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每两个月末</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13.00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每两个月末</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13.00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每两个月末</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13.00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每两个月末</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13.00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每两个月末</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13.00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每两个月末</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2.00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工程监理服务费于本项目竣工验收合格并交付使用结算后，并按照合同要求提供合格的监理竣工资料后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17.00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自竣工验收合格满二年后且监理人不存在违约情形或已经承担违约责任后最终结清，不计利息</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3.00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详见合同附件</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资格证明文件.docx</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授权委托书或法人身份证明</w:t>
            </w:r>
          </w:p>
        </w:tc>
        <w:tc>
          <w:tcPr>
            <w:tcW w:type="dxa" w:w="3322"/>
          </w:tcPr>
          <w:p>
            <w:pPr>
              <w:pStyle w:val="null3"/>
            </w:pPr>
            <w:r>
              <w:rPr>
                <w:rFonts w:ascii="仿宋_GB2312" w:hAnsi="仿宋_GB2312" w:cs="仿宋_GB2312" w:eastAsia="仿宋_GB2312"/>
              </w:rPr>
              <w:t>（1）法定代表人或单位负责人投标的，应提供法定代表人或单位负责人身份证明； （2）授权代表投标的，应提供法定代表人或单位负责人身份证明、授权委托书及授权代表在本单位缴纳养老保险证明。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信用要求</w:t>
            </w:r>
          </w:p>
        </w:tc>
        <w:tc>
          <w:tcPr>
            <w:tcW w:type="dxa" w:w="3322"/>
          </w:tcPr>
          <w:p>
            <w:pPr>
              <w:pStyle w:val="null3"/>
            </w:pPr>
            <w:r>
              <w:rPr>
                <w:rFonts w:ascii="仿宋_GB2312" w:hAnsi="仿宋_GB2312" w:cs="仿宋_GB2312" w:eastAsia="仿宋_GB2312"/>
              </w:rPr>
              <w:t>投标人未被列入“信用中国”网站(www.creditchina.gov.cn)“失信被执行人或重大税收违法失信主体或政府采购严重违法失信行为”记录名单； 不处于中国政府采购网(www.ccgp.gov.cn)“政府采购严重违法失信行为信息记录”中的禁止参加政府采购活动期间。 （以采购代理机构于递交投标文件截止时间当天进行资格审查时在“信用中国”网站（www.creditchina.gov.cn）及中国政府采购网(www.ccgp.gov.cn)查询结果为准）。</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资格要求</w:t>
            </w:r>
          </w:p>
        </w:tc>
        <w:tc>
          <w:tcPr>
            <w:tcW w:type="dxa" w:w="3322"/>
          </w:tcPr>
          <w:p>
            <w:pPr>
              <w:pStyle w:val="null3"/>
            </w:pPr>
            <w:r>
              <w:rPr>
                <w:rFonts w:ascii="仿宋_GB2312" w:hAnsi="仿宋_GB2312" w:cs="仿宋_GB2312" w:eastAsia="仿宋_GB2312"/>
              </w:rPr>
              <w:t>投标人须具备工程监理综合资质或房屋建筑工程监理乙级及以上资质：拟派项目总监理工程师具有房屋建筑工程专业国家注册监理工程师资格，在本单位注册且无在监工程；投标人及拟派项目总监理工程师基本信息应在陕西省住房和城乡建设厅官网可查询。</w:t>
            </w:r>
          </w:p>
        </w:tc>
        <w:tc>
          <w:tcPr>
            <w:tcW w:type="dxa" w:w="1661"/>
          </w:tcPr>
          <w:p>
            <w:pPr>
              <w:pStyle w:val="null3"/>
            </w:pPr>
            <w:r>
              <w:rPr>
                <w:rFonts w:ascii="仿宋_GB2312" w:hAnsi="仿宋_GB2312" w:cs="仿宋_GB2312" w:eastAsia="仿宋_GB2312"/>
              </w:rPr>
              <w:t>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监理职责范围</w:t>
            </w:r>
          </w:p>
        </w:tc>
        <w:tc>
          <w:tcPr>
            <w:tcW w:type="dxa" w:w="2492"/>
          </w:tcPr>
          <w:p>
            <w:pPr>
              <w:pStyle w:val="null3"/>
            </w:pPr>
            <w:r>
              <w:rPr>
                <w:rFonts w:ascii="仿宋_GB2312" w:hAnsi="仿宋_GB2312" w:cs="仿宋_GB2312" w:eastAsia="仿宋_GB2312"/>
              </w:rPr>
              <w:t>根据供应商针对本项目提供的监理职责范围进行评审，包括监理公司对项目部的管理职责范围，项目监理部职责范围，现场监理人员岗位职责范围：职责范围符合项目实际情况，内容详尽且涵盖角度全面的得7分；职责范围符合项目实际情况，内容涵盖稍有欠缺的得5分；职责范围不符合项目实际情况，内容简单的得3分；未提供的得0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监理职责范围.docx</w:t>
            </w:r>
          </w:p>
        </w:tc>
      </w:tr>
      <w:tr>
        <w:tc>
          <w:tcPr>
            <w:tcW w:type="dxa" w:w="831"/>
            <w:vMerge/>
          </w:tcPr>
          <w:p/>
        </w:tc>
        <w:tc>
          <w:tcPr>
            <w:tcW w:type="dxa" w:w="1661"/>
          </w:tcPr>
          <w:p>
            <w:pPr>
              <w:pStyle w:val="null3"/>
            </w:pPr>
            <w:r>
              <w:rPr>
                <w:rFonts w:ascii="仿宋_GB2312" w:hAnsi="仿宋_GB2312" w:cs="仿宋_GB2312" w:eastAsia="仿宋_GB2312"/>
              </w:rPr>
              <w:t>四控两管一协调的手段</w:t>
            </w:r>
          </w:p>
        </w:tc>
        <w:tc>
          <w:tcPr>
            <w:tcW w:type="dxa" w:w="2492"/>
          </w:tcPr>
          <w:p>
            <w:pPr>
              <w:pStyle w:val="null3"/>
            </w:pPr>
            <w:r>
              <w:rPr>
                <w:rFonts w:ascii="仿宋_GB2312" w:hAnsi="仿宋_GB2312" w:cs="仿宋_GB2312" w:eastAsia="仿宋_GB2312"/>
              </w:rPr>
              <w:t>根据供应商针对本项目提供的四控两管一协调内容及措施进行评审：措施符合项目实际情况及实施要求，内容详尽且涵盖角度全面，合理性和可行性强，能够保障项目顺利实施的得7分；措施符合项目实际情况及实施要求，内容涵盖角度稍有欠缺的得5分；措施不符合项目实际情况及实施要求，涵盖角度不全面的得3分；未提供的得0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四控两管一协调的手段.docx</w:t>
            </w:r>
          </w:p>
        </w:tc>
      </w:tr>
      <w:tr>
        <w:tc>
          <w:tcPr>
            <w:tcW w:type="dxa" w:w="831"/>
            <w:vMerge/>
          </w:tcPr>
          <w:p/>
        </w:tc>
        <w:tc>
          <w:tcPr>
            <w:tcW w:type="dxa" w:w="1661"/>
          </w:tcPr>
          <w:p>
            <w:pPr>
              <w:pStyle w:val="null3"/>
            </w:pPr>
            <w:r>
              <w:rPr>
                <w:rFonts w:ascii="仿宋_GB2312" w:hAnsi="仿宋_GB2312" w:cs="仿宋_GB2312" w:eastAsia="仿宋_GB2312"/>
              </w:rPr>
              <w:t>质量监控要点及手段</w:t>
            </w:r>
          </w:p>
        </w:tc>
        <w:tc>
          <w:tcPr>
            <w:tcW w:type="dxa" w:w="2492"/>
          </w:tcPr>
          <w:p>
            <w:pPr>
              <w:pStyle w:val="null3"/>
            </w:pPr>
            <w:r>
              <w:rPr>
                <w:rFonts w:ascii="仿宋_GB2312" w:hAnsi="仿宋_GB2312" w:cs="仿宋_GB2312" w:eastAsia="仿宋_GB2312"/>
              </w:rPr>
              <w:t>根据供应商针对本项目提供的质量监控要点及措施进行评审：措施符合项目实际情况及实施要求，内容详尽且涵盖角度全面，合理性和可行性强，能够保障项目顺利实施的得7分；措施符合项目实际情况及实施要求，内容涵盖角度稍有欠缺的得5分；措施不符合项目实际情况及实施要求，涵盖角度不全面的得3分；未提供的得0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质量监控要点及手段.docx</w:t>
            </w:r>
          </w:p>
        </w:tc>
      </w:tr>
      <w:tr>
        <w:tc>
          <w:tcPr>
            <w:tcW w:type="dxa" w:w="831"/>
            <w:vMerge/>
          </w:tcPr>
          <w:p/>
        </w:tc>
        <w:tc>
          <w:tcPr>
            <w:tcW w:type="dxa" w:w="1661"/>
          </w:tcPr>
          <w:p>
            <w:pPr>
              <w:pStyle w:val="null3"/>
            </w:pPr>
            <w:r>
              <w:rPr>
                <w:rFonts w:ascii="仿宋_GB2312" w:hAnsi="仿宋_GB2312" w:cs="仿宋_GB2312" w:eastAsia="仿宋_GB2312"/>
              </w:rPr>
              <w:t>质量要点及检测试验</w:t>
            </w:r>
          </w:p>
        </w:tc>
        <w:tc>
          <w:tcPr>
            <w:tcW w:type="dxa" w:w="2492"/>
          </w:tcPr>
          <w:p>
            <w:pPr>
              <w:pStyle w:val="null3"/>
            </w:pPr>
            <w:r>
              <w:rPr>
                <w:rFonts w:ascii="仿宋_GB2312" w:hAnsi="仿宋_GB2312" w:cs="仿宋_GB2312" w:eastAsia="仿宋_GB2312"/>
              </w:rPr>
              <w:t>根据供应商针对本项目提供的质量要点及检测试验进行评审，包括列出质量见证点、停止点、及必要的检测试验环节和内容及其检测试验方法：质量要点及检测试验符合项目实际情况及实施要求，内容详尽且涵盖角度全面，合理性和可行性强，能够保障项目顺利实施的得7分；措施符合项目实际情况及实施要求，内容涵盖角度稍有欠缺的得5分；措施不符合项目实际情况及实施要求，涵盖角度不全面的得3分；未提供的得0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质量要点及检测试验.docx</w:t>
            </w:r>
          </w:p>
        </w:tc>
      </w:tr>
      <w:tr>
        <w:tc>
          <w:tcPr>
            <w:tcW w:type="dxa" w:w="831"/>
            <w:vMerge/>
          </w:tcPr>
          <w:p/>
        </w:tc>
        <w:tc>
          <w:tcPr>
            <w:tcW w:type="dxa" w:w="1661"/>
          </w:tcPr>
          <w:p>
            <w:pPr>
              <w:pStyle w:val="null3"/>
            </w:pPr>
            <w:r>
              <w:rPr>
                <w:rFonts w:ascii="仿宋_GB2312" w:hAnsi="仿宋_GB2312" w:cs="仿宋_GB2312" w:eastAsia="仿宋_GB2312"/>
              </w:rPr>
              <w:t>组织协调</w:t>
            </w:r>
          </w:p>
        </w:tc>
        <w:tc>
          <w:tcPr>
            <w:tcW w:type="dxa" w:w="2492"/>
          </w:tcPr>
          <w:p>
            <w:pPr>
              <w:pStyle w:val="null3"/>
            </w:pPr>
            <w:r>
              <w:rPr>
                <w:rFonts w:ascii="仿宋_GB2312" w:hAnsi="仿宋_GB2312" w:cs="仿宋_GB2312" w:eastAsia="仿宋_GB2312"/>
              </w:rPr>
              <w:t>根据供应商针对本项目提供的组织协调方案进行评审：施工中组织协调合理、有效的提出解决争议的方式方法得7分；施工中组织协调基本合理、能提出部分解决争议的方法的得5分；施工中组织协调不适合本项目、解决争议的方式方法不完善的得3分；未提供的得0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组织协调.docx</w:t>
            </w:r>
          </w:p>
        </w:tc>
      </w:tr>
      <w:tr>
        <w:tc>
          <w:tcPr>
            <w:tcW w:type="dxa" w:w="831"/>
            <w:vMerge/>
          </w:tcPr>
          <w:p/>
        </w:tc>
        <w:tc>
          <w:tcPr>
            <w:tcW w:type="dxa" w:w="1661"/>
          </w:tcPr>
          <w:p>
            <w:pPr>
              <w:pStyle w:val="null3"/>
            </w:pPr>
            <w:r>
              <w:rPr>
                <w:rFonts w:ascii="仿宋_GB2312" w:hAnsi="仿宋_GB2312" w:cs="仿宋_GB2312" w:eastAsia="仿宋_GB2312"/>
              </w:rPr>
              <w:t>安全及文明施工的管理措施</w:t>
            </w:r>
          </w:p>
        </w:tc>
        <w:tc>
          <w:tcPr>
            <w:tcW w:type="dxa" w:w="2492"/>
          </w:tcPr>
          <w:p>
            <w:pPr>
              <w:pStyle w:val="null3"/>
            </w:pPr>
            <w:r>
              <w:rPr>
                <w:rFonts w:ascii="仿宋_GB2312" w:hAnsi="仿宋_GB2312" w:cs="仿宋_GB2312" w:eastAsia="仿宋_GB2312"/>
              </w:rPr>
              <w:t>根据供应商针对本项目提供的安全及文明施工的管理措施进行评审：措施符合项目实际情况及实施要求，内容详尽且涵盖角度全面，合理性和可行性强，能够保障项目顺利实施的得5分；措施符合项目实际情况及实施要求，内容涵盖角度稍有欠缺的得3分；措施不符合项目实际情况及实施要求，涵盖角度不全面的得1分；未提供的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安全及文明施工的管理措施.docx</w:t>
            </w:r>
          </w:p>
        </w:tc>
      </w:tr>
      <w:tr>
        <w:tc>
          <w:tcPr>
            <w:tcW w:type="dxa" w:w="831"/>
            <w:vMerge/>
          </w:tcPr>
          <w:p/>
        </w:tc>
        <w:tc>
          <w:tcPr>
            <w:tcW w:type="dxa" w:w="1661"/>
          </w:tcPr>
          <w:p>
            <w:pPr>
              <w:pStyle w:val="null3"/>
            </w:pPr>
            <w:r>
              <w:rPr>
                <w:rFonts w:ascii="仿宋_GB2312" w:hAnsi="仿宋_GB2312" w:cs="仿宋_GB2312" w:eastAsia="仿宋_GB2312"/>
              </w:rPr>
              <w:t>检测仪器和工具</w:t>
            </w:r>
          </w:p>
        </w:tc>
        <w:tc>
          <w:tcPr>
            <w:tcW w:type="dxa" w:w="2492"/>
          </w:tcPr>
          <w:p>
            <w:pPr>
              <w:pStyle w:val="null3"/>
            </w:pPr>
            <w:r>
              <w:rPr>
                <w:rFonts w:ascii="仿宋_GB2312" w:hAnsi="仿宋_GB2312" w:cs="仿宋_GB2312" w:eastAsia="仿宋_GB2312"/>
              </w:rPr>
              <w:t>根据供应商针对本项目提供的拟投入检测仪器设备配备情况进行评审：检测仪器和工具完整齐全，能够完全满足和保障监理服务需求得得5分；检测仪器和工具有缺漏，能够保障监理服务需求得3分；检测仪器和工具不足，无法完全满足监理服务得1分。未提供的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检测仪器和工具.docx</w:t>
            </w:r>
          </w:p>
        </w:tc>
      </w:tr>
      <w:tr>
        <w:tc>
          <w:tcPr>
            <w:tcW w:type="dxa" w:w="831"/>
            <w:vMerge/>
          </w:tcP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提供2020年1月1日至今已完成的类似项目业绩，每提供1项得2分，最多得20分。未提供的或所提供资料不符合要求的不得分。 评审依据：提供合同的复印件或扫描件加盖公章，时间以合同签订时间为准。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类似业绩.docx</w:t>
            </w:r>
          </w:p>
        </w:tc>
      </w:tr>
      <w:tr>
        <w:tc>
          <w:tcPr>
            <w:tcW w:type="dxa" w:w="831"/>
            <w:vMerge/>
          </w:tcPr>
          <w:p/>
        </w:tc>
        <w:tc>
          <w:tcPr>
            <w:tcW w:type="dxa" w:w="1661"/>
          </w:tcPr>
          <w:p>
            <w:pPr>
              <w:pStyle w:val="null3"/>
            </w:pPr>
            <w:r>
              <w:rPr>
                <w:rFonts w:ascii="仿宋_GB2312" w:hAnsi="仿宋_GB2312" w:cs="仿宋_GB2312" w:eastAsia="仿宋_GB2312"/>
              </w:rPr>
              <w:t>拟派总监理工程师职称</w:t>
            </w:r>
          </w:p>
        </w:tc>
        <w:tc>
          <w:tcPr>
            <w:tcW w:type="dxa" w:w="2492"/>
          </w:tcPr>
          <w:p>
            <w:pPr>
              <w:pStyle w:val="null3"/>
            </w:pPr>
            <w:r>
              <w:rPr>
                <w:rFonts w:ascii="仿宋_GB2312" w:hAnsi="仿宋_GB2312" w:cs="仿宋_GB2312" w:eastAsia="仿宋_GB2312"/>
              </w:rPr>
              <w:t>拟派项目总监理工程师具备高级专业技术职称的得2分，其余情况不得分。 评审依据：评审时以供应商提供的加盖供应商公章的拟派总监理工程师最高职称证书的扫描件或复印件为准。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拟派总监理工程师职称.docx</w:t>
            </w:r>
          </w:p>
        </w:tc>
      </w:tr>
      <w:tr>
        <w:tc>
          <w:tcPr>
            <w:tcW w:type="dxa" w:w="831"/>
            <w:vMerge/>
          </w:tcPr>
          <w:p/>
        </w:tc>
        <w:tc>
          <w:tcPr>
            <w:tcW w:type="dxa" w:w="1661"/>
          </w:tcPr>
          <w:p>
            <w:pPr>
              <w:pStyle w:val="null3"/>
            </w:pPr>
            <w:r>
              <w:rPr>
                <w:rFonts w:ascii="仿宋_GB2312" w:hAnsi="仿宋_GB2312" w:cs="仿宋_GB2312" w:eastAsia="仿宋_GB2312"/>
              </w:rPr>
              <w:t>拟派总监理工程师业绩</w:t>
            </w:r>
          </w:p>
        </w:tc>
        <w:tc>
          <w:tcPr>
            <w:tcW w:type="dxa" w:w="2492"/>
          </w:tcPr>
          <w:p>
            <w:pPr>
              <w:pStyle w:val="null3"/>
            </w:pPr>
            <w:r>
              <w:rPr>
                <w:rFonts w:ascii="仿宋_GB2312" w:hAnsi="仿宋_GB2312" w:cs="仿宋_GB2312" w:eastAsia="仿宋_GB2312"/>
              </w:rPr>
              <w:t>供应商提供拟派总监理工程师自2020年01月01日至本项目响应文件递交截止时间前的房建类监理项目业绩证明材料（且在该项目中担任总监理工程师一职）；每提供1项得2.5分，最多得5分。未提供的或所提供资料不符合要求的不得分。 评审依据：以供应商提供的该项目合同的扫描件或复印件并加盖单位公章为准，合同中应有在该项目合同中担任总监理工程师一职的相关信息，时间以合同签订时间为准。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拟派总监理工程师业绩.docx</w:t>
            </w:r>
          </w:p>
        </w:tc>
      </w:tr>
      <w:tr>
        <w:tc>
          <w:tcPr>
            <w:tcW w:type="dxa" w:w="831"/>
            <w:vMerge/>
          </w:tcPr>
          <w:p/>
        </w:tc>
        <w:tc>
          <w:tcPr>
            <w:tcW w:type="dxa" w:w="1661"/>
          </w:tcPr>
          <w:p>
            <w:pPr>
              <w:pStyle w:val="null3"/>
            </w:pPr>
            <w:r>
              <w:rPr>
                <w:rFonts w:ascii="仿宋_GB2312" w:hAnsi="仿宋_GB2312" w:cs="仿宋_GB2312" w:eastAsia="仿宋_GB2312"/>
              </w:rPr>
              <w:t>项目组人员配备</w:t>
            </w:r>
          </w:p>
        </w:tc>
        <w:tc>
          <w:tcPr>
            <w:tcW w:type="dxa" w:w="2492"/>
          </w:tcPr>
          <w:p>
            <w:pPr>
              <w:pStyle w:val="null3"/>
            </w:pPr>
            <w:r>
              <w:rPr>
                <w:rFonts w:ascii="仿宋_GB2312" w:hAnsi="仿宋_GB2312" w:cs="仿宋_GB2312" w:eastAsia="仿宋_GB2312"/>
              </w:rPr>
              <w:t>1.供应商项目组人员至少应包括（除拟派项目总监理工程师外）：土建专业1人、电气专业1人、给排水专业1人、暖通专业1人、造价专业1人、负责安全监督人员1人。满足以上全部要求的，得6分；提供不全或者未提供不得分。 2.在满足上述基本人员配备的基础上每增加1位人员加0.5分，最多加2分； 评审依据：提供身份证和相应专业证书，评审时以供应商提供加盖公章的证书复印件为准，未提供以上资料的相应人员不予认定和赋分。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项目组人员配备.docx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满足招标文件要求且投标价格最低的投标报价为评标基准价，其价格分为满分。其他投标人的价格分统一按照下列公式计算：投标报价得分=（评标基准价/投标报价）×价格权值 （小微企业、监狱企业或残疾人福利性单位用投标报价扣除后的价格参加评审。专门面向中小企业采购的项目不进行价格扣除。）</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拒绝政府采购领域商业贿赂承诺书.docx</w:t>
            </w:r>
          </w:p>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详见附件：安全及文明施工的管理措施.docx</w:t>
      </w:r>
    </w:p>
    <w:p>
      <w:pPr>
        <w:pStyle w:val="null3"/>
        <w:ind w:firstLine="960"/>
      </w:pPr>
      <w:r>
        <w:rPr>
          <w:rFonts w:ascii="仿宋_GB2312" w:hAnsi="仿宋_GB2312" w:cs="仿宋_GB2312" w:eastAsia="仿宋_GB2312"/>
        </w:rPr>
        <w:t>详见附件：拒绝政府采购领域商业贿赂承诺书.docx</w:t>
      </w:r>
    </w:p>
    <w:p>
      <w:pPr>
        <w:pStyle w:val="null3"/>
        <w:ind w:firstLine="960"/>
      </w:pPr>
      <w:r>
        <w:rPr>
          <w:rFonts w:ascii="仿宋_GB2312" w:hAnsi="仿宋_GB2312" w:cs="仿宋_GB2312" w:eastAsia="仿宋_GB2312"/>
        </w:rPr>
        <w:t>详见附件：类似业绩.docx</w:t>
      </w:r>
    </w:p>
    <w:p>
      <w:pPr>
        <w:pStyle w:val="null3"/>
        <w:ind w:firstLine="960"/>
      </w:pPr>
      <w:r>
        <w:rPr>
          <w:rFonts w:ascii="仿宋_GB2312" w:hAnsi="仿宋_GB2312" w:cs="仿宋_GB2312" w:eastAsia="仿宋_GB2312"/>
        </w:rPr>
        <w:t>详见附件：拟派总监理工程师业绩.docx</w:t>
      </w:r>
    </w:p>
    <w:p>
      <w:pPr>
        <w:pStyle w:val="null3"/>
        <w:ind w:firstLine="960"/>
      </w:pPr>
      <w:r>
        <w:rPr>
          <w:rFonts w:ascii="仿宋_GB2312" w:hAnsi="仿宋_GB2312" w:cs="仿宋_GB2312" w:eastAsia="仿宋_GB2312"/>
        </w:rPr>
        <w:t>详见附件：拟派总监理工程师职称.docx</w:t>
      </w:r>
    </w:p>
    <w:p>
      <w:pPr>
        <w:pStyle w:val="null3"/>
        <w:ind w:firstLine="960"/>
      </w:pPr>
      <w:r>
        <w:rPr>
          <w:rFonts w:ascii="仿宋_GB2312" w:hAnsi="仿宋_GB2312" w:cs="仿宋_GB2312" w:eastAsia="仿宋_GB2312"/>
        </w:rPr>
        <w:t>详见附件：项目组人员配备.docx</w:t>
      </w:r>
    </w:p>
    <w:p>
      <w:pPr>
        <w:pStyle w:val="null3"/>
        <w:ind w:firstLine="960"/>
      </w:pPr>
      <w:r>
        <w:rPr>
          <w:rFonts w:ascii="仿宋_GB2312" w:hAnsi="仿宋_GB2312" w:cs="仿宋_GB2312" w:eastAsia="仿宋_GB2312"/>
        </w:rPr>
        <w:t>详见附件：质量监控要点及手段.docx</w:t>
      </w:r>
    </w:p>
    <w:p>
      <w:pPr>
        <w:pStyle w:val="null3"/>
        <w:ind w:firstLine="960"/>
      </w:pPr>
      <w:r>
        <w:rPr>
          <w:rFonts w:ascii="仿宋_GB2312" w:hAnsi="仿宋_GB2312" w:cs="仿宋_GB2312" w:eastAsia="仿宋_GB2312"/>
        </w:rPr>
        <w:t>详见附件：组织协调.docx</w:t>
      </w:r>
    </w:p>
    <w:p>
      <w:pPr>
        <w:pStyle w:val="null3"/>
        <w:ind w:firstLine="960"/>
      </w:pPr>
      <w:r>
        <w:rPr>
          <w:rFonts w:ascii="仿宋_GB2312" w:hAnsi="仿宋_GB2312" w:cs="仿宋_GB2312" w:eastAsia="仿宋_GB2312"/>
        </w:rPr>
        <w:t>详见附件：监理职责范围.docx</w:t>
      </w:r>
    </w:p>
    <w:p>
      <w:pPr>
        <w:pStyle w:val="null3"/>
        <w:ind w:firstLine="960"/>
      </w:pPr>
      <w:r>
        <w:rPr>
          <w:rFonts w:ascii="仿宋_GB2312" w:hAnsi="仿宋_GB2312" w:cs="仿宋_GB2312" w:eastAsia="仿宋_GB2312"/>
        </w:rPr>
        <w:t>详见附件：检测仪器和工具.docx</w:t>
      </w:r>
    </w:p>
    <w:p>
      <w:pPr>
        <w:pStyle w:val="null3"/>
        <w:ind w:firstLine="960"/>
      </w:pPr>
      <w:r>
        <w:rPr>
          <w:rFonts w:ascii="仿宋_GB2312" w:hAnsi="仿宋_GB2312" w:cs="仿宋_GB2312" w:eastAsia="仿宋_GB2312"/>
        </w:rPr>
        <w:t>详见附件：四控两管一协调的手段.docx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详见附件：质量要点及检测试验.docx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详见附件：拟签订合同文本.docx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