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版本号：BJXYSZG-YJZL-JL20250923001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宝鸡峡灌区塬上总干渠13+673~24+789和65+249~94+980段应急治理工程监理标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BJXYSZG-YJZL-JL</w:t>
      </w:r>
      <w:r>
        <w:br/>
      </w:r>
      <w:r>
        <w:br/>
      </w:r>
      <w:r>
        <w:br/>
      </w:r>
    </w:p>
    <w:p>
      <w:pPr>
        <w:pStyle w:val="null3"/>
        <w:jc w:val="center"/>
        <w:outlineLvl w:val="2"/>
      </w:pPr>
      <w:r>
        <w:rPr>
          <w:rFonts w:ascii="仿宋_GB2312" w:hAnsi="仿宋_GB2312" w:cs="仿宋_GB2312" w:eastAsia="仿宋_GB2312"/>
          <w:sz w:val="28"/>
          <w:b/>
        </w:rPr>
        <w:t>陕西省宝鸡峡引渭灌溉管理局</w:t>
      </w:r>
    </w:p>
    <w:p>
      <w:pPr>
        <w:pStyle w:val="null3"/>
        <w:jc w:val="center"/>
        <w:outlineLvl w:val="2"/>
      </w:pPr>
      <w:r>
        <w:rPr>
          <w:rFonts w:ascii="仿宋_GB2312" w:hAnsi="仿宋_GB2312" w:cs="仿宋_GB2312" w:eastAsia="仿宋_GB2312"/>
          <w:sz w:val="28"/>
          <w:b/>
        </w:rPr>
        <w:t>陕西鑫亿轩项目管理有限公司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陕西鑫亿轩项目管理有限公司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陕西省宝鸡峡引渭灌溉管理局</w:t>
      </w:r>
      <w:r>
        <w:rPr>
          <w:rFonts w:ascii="仿宋_GB2312" w:hAnsi="仿宋_GB2312" w:cs="仿宋_GB2312" w:eastAsia="仿宋_GB2312"/>
        </w:rPr>
        <w:t>委托，拟对</w:t>
      </w:r>
      <w:r>
        <w:rPr>
          <w:rFonts w:ascii="仿宋_GB2312" w:hAnsi="仿宋_GB2312" w:cs="仿宋_GB2312" w:eastAsia="仿宋_GB2312"/>
        </w:rPr>
        <w:t>宝鸡峡灌区塬上总干渠13+673~24+789和65+249~94+980段应急治理工程监理标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BJXYSZG-YJZL-JL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宝鸡峡灌区塬上总干渠13+673~24+789和65+249~94+980段应急治理工程监理标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主要建设内容：新建及修复塬上总干渠左岸坡脚砌护2060m；塬上总干渠右岸边坡坡脚防护455m；新建及修复塬上总干渠左岸高泄1565m；塬上总干渠右岸渠堤灌浆543m；过沟填方段沟道应急疏通工程1处；塬上总干渠左岸边坡平钻排水修复194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：提供有效合格的具有统一社会信用代码的营业执照，其他组织经营的须提供合法凭证，自然人提供身份证明文件；供应商需在项目电子化交易系统中按要求上传相应证明文件并进行电子签章。</w:t>
      </w:r>
    </w:p>
    <w:p>
      <w:pPr>
        <w:pStyle w:val="null3"/>
      </w:pPr>
      <w:r>
        <w:rPr>
          <w:rFonts w:ascii="仿宋_GB2312" w:hAnsi="仿宋_GB2312" w:cs="仿宋_GB2312" w:eastAsia="仿宋_GB2312"/>
        </w:rPr>
        <w:t>2、财务状况报告 ：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 ：提供响应文件递交截止时间前6个月内已缴纳的至少一个月的纳税证明或完税证明，依法免税的投标人应提供相关文件证明；供应商需在项目电子化交易系统中按要求上传相应证明文件并进行电子签章。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 ：提供响应文件递交截止时间前6个月内已缴纳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pPr>
        <w:pStyle w:val="null3"/>
      </w:pPr>
      <w:r>
        <w:rPr>
          <w:rFonts w:ascii="仿宋_GB2312" w:hAnsi="仿宋_GB2312" w:cs="仿宋_GB2312" w:eastAsia="仿宋_GB2312"/>
        </w:rPr>
        <w:t>5、书面声明 ：具备履行合同所必须的设备和专业技术能力的书面声明；供应商需在项目电子化交易系统中按要求上传相应证明文件并进行电子签章。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6、无重大违法记录 ：参加政府采购活动前三年内，在经营活动中没有重大违法记录的书面声明；供应商需在项目电子化交易系统中按要求上传相应证明文件并进行电子签章。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7、信用记录 ：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8、授权委托书 ：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9、供应商资质要求 ：具有水利工程施工监理乙级（含乙级）以上资质；供应商需在项目电子化交易系统中按要求上传相应证明文件并进行电子签章。</w:t>
      </w:r>
    </w:p>
    <w:p>
      <w:pPr>
        <w:pStyle w:val="null3"/>
      </w:pPr>
      <w:r>
        <w:rPr>
          <w:rFonts w:ascii="仿宋_GB2312" w:hAnsi="仿宋_GB2312" w:cs="仿宋_GB2312" w:eastAsia="仿宋_GB2312"/>
        </w:rPr>
        <w:t>10、拟派总监理工程师资质要求 ：拟派总监理工程师应具有中华人民共和国水利相关专业监理工程师注册证书，且具有水利相关专业高级工程师及以上职称；供应商需在项目电子化交易系统中按要求上传相应证明文件并进行电子签章。</w:t>
      </w:r>
    </w:p>
    <w:p>
      <w:pPr>
        <w:pStyle w:val="null3"/>
      </w:pPr>
      <w:r>
        <w:rPr>
          <w:rFonts w:ascii="仿宋_GB2312" w:hAnsi="仿宋_GB2312" w:cs="仿宋_GB2312" w:eastAsia="仿宋_GB2312"/>
        </w:rPr>
        <w:t>11、非联合体投标声明 ：提供非联合体投标声明。供应商需在项目电子化交易系统中按要求上传相应证明文件并进行电子签章。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陕西省宝鸡峡引渭灌溉管理局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咸阳市联盟三路付7号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029-33158034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陕西鑫亿轩项目管理有限公司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陕西省西安市雁塔区陕西省西安市雁塔区科创路丽湾蓝岛B座1单元805室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开户名称：陕西鑫亿轩项目管理有限公司</w:t>
            </w:r>
          </w:p>
          <w:p>
            <w:pPr>
              <w:pStyle w:val="null3"/>
            </w:pPr>
            <w:r>
              <w:rPr>
                <w:rFonts w:ascii="仿宋_GB2312" w:hAnsi="仿宋_GB2312" w:cs="仿宋_GB2312" w:eastAsia="仿宋_GB2312"/>
              </w:rPr>
              <w:t>开户银行：中国农业银行股份有限公司西安科技路支行</w:t>
            </w:r>
          </w:p>
          <w:p>
            <w:pPr>
              <w:pStyle w:val="null3"/>
            </w:pPr>
            <w:r>
              <w:rPr>
                <w:rFonts w:ascii="仿宋_GB2312" w:hAnsi="仿宋_GB2312" w:cs="仿宋_GB2312" w:eastAsia="仿宋_GB2312"/>
              </w:rPr>
              <w:t>银行账号：26136501040022026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陕西省宝鸡峡引渭灌溉管理局</w:t>
      </w:r>
      <w:r>
        <w:rPr>
          <w:rFonts w:ascii="仿宋_GB2312" w:hAnsi="仿宋_GB2312" w:cs="仿宋_GB2312" w:eastAsia="仿宋_GB2312"/>
        </w:rPr>
        <w:t>和</w:t>
      </w:r>
      <w:r>
        <w:rPr>
          <w:rFonts w:ascii="仿宋_GB2312" w:hAnsi="仿宋_GB2312" w:cs="仿宋_GB2312" w:eastAsia="仿宋_GB2312"/>
        </w:rPr>
        <w:t>陕西鑫亿轩项目管理有限公司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陕西省宝鸡峡引渭灌溉管理局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陕西鑫亿轩项目管理有限公司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陕西省宝鸡峡引渭灌溉管理局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陕西鑫亿轩项目管理有限公司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采购人组织，按照《水利工程施工监理规范》（SL288-2014）和《水利水电建设工程验收规程》（SL/T223-2025）有关规定，分阶段验收。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联系电话：029—88210828</w:t>
      </w:r>
    </w:p>
    <w:p>
      <w:pPr>
        <w:pStyle w:val="null3"/>
      </w:pPr>
      <w:r>
        <w:rPr>
          <w:rFonts w:ascii="仿宋_GB2312" w:hAnsi="仿宋_GB2312" w:cs="仿宋_GB2312" w:eastAsia="仿宋_GB2312"/>
        </w:rPr>
        <w:t>地址：陕西省西安市雁塔区科创路丽湾蓝岛B座805室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宝鸡峡灌区塬上总干渠13+673~24+789和65+249~94+980段应急治理工程监理标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标的名称：宝鸡峡灌区塬上总干渠13+673~24+789和65+249~94+980段应急治理工程监理标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一、采购内容及服务范围</w:t>
            </w:r>
            <w:r>
              <w:br/>
            </w:r>
            <w:r>
              <w:rPr>
                <w:rFonts w:ascii="仿宋_GB2312" w:hAnsi="仿宋_GB2312" w:cs="仿宋_GB2312" w:eastAsia="仿宋_GB2312"/>
              </w:rPr>
              <w:t xml:space="preserve"> 本工程主要建设内容：新建及修复塬上总干渠左岸坡脚砌护2060m；塬上总干渠右岸边坡坡脚防护455m；新建及修复塬上总干渠左岸高泄1565m；塬上总干渠右岸渠堤灌浆543m；过沟填方段沟道应急疏通工程1处；塬上总干渠左岸边坡平钻排水修复194m。</w:t>
            </w:r>
            <w:r>
              <w:br/>
            </w:r>
            <w:r>
              <w:rPr>
                <w:rFonts w:ascii="仿宋_GB2312" w:hAnsi="仿宋_GB2312" w:cs="仿宋_GB2312" w:eastAsia="仿宋_GB2312"/>
              </w:rPr>
              <w:t xml:space="preserve"> 施工Ⅰ标项建设内容：新建及修复塬上总干渠左岸坡脚砌护996m；塬上总干渠右岸边坡坡脚防护455m；新建及修复塬上总干渠左岸高泄846m；塬上总干渠右岸渠堤灌浆543m；过沟填方段沟道应急疏通工程1处。</w:t>
            </w:r>
            <w:r>
              <w:br/>
            </w:r>
            <w:r>
              <w:rPr>
                <w:rFonts w:ascii="仿宋_GB2312" w:hAnsi="仿宋_GB2312" w:cs="仿宋_GB2312" w:eastAsia="仿宋_GB2312"/>
              </w:rPr>
              <w:t xml:space="preserve"> 施工Ⅱ标项建设内容：新建及修复塬上总干渠左岸坡脚砌护1064m；新建及修复塬上总干渠左岸高泄719m。</w:t>
            </w:r>
            <w:r>
              <w:br/>
            </w:r>
            <w:r>
              <w:rPr>
                <w:rFonts w:ascii="仿宋_GB2312" w:hAnsi="仿宋_GB2312" w:cs="仿宋_GB2312" w:eastAsia="仿宋_GB2312"/>
              </w:rPr>
              <w:t xml:space="preserve"> 监理标工作内容包括宝鸡峡灌区塬上总干渠13+673～24+789和65+249～94+980段应急治理工程施工Ⅰ～Ⅱ标项施工期建设监理。</w:t>
            </w:r>
            <w:r>
              <w:br/>
            </w:r>
            <w:r>
              <w:rPr>
                <w:rFonts w:ascii="仿宋_GB2312" w:hAnsi="仿宋_GB2312" w:cs="仿宋_GB2312" w:eastAsia="仿宋_GB2312"/>
              </w:rPr>
              <w:t xml:space="preserve"> 施工Ⅰ～Ⅱ标项施工期：100日历天。计划2025年10月20日开工，2026年1月28日完工。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w:t>
            </w:r>
            <w:r>
              <w:br/>
            </w:r>
            <w:r>
              <w:rPr>
                <w:rFonts w:ascii="仿宋_GB2312" w:hAnsi="仿宋_GB2312" w:cs="仿宋_GB2312" w:eastAsia="仿宋_GB2312"/>
              </w:rPr>
              <w:t xml:space="preserve"> 按照水利工程监理招标文件范本通用合同条款执行。本合同监理服务主要内容包括：</w:t>
            </w:r>
            <w:r>
              <w:br/>
            </w:r>
            <w:r>
              <w:rPr>
                <w:rFonts w:ascii="仿宋_GB2312" w:hAnsi="仿宋_GB2312" w:cs="仿宋_GB2312" w:eastAsia="仿宋_GB2312"/>
              </w:rPr>
              <w:t xml:space="preserve"> 1、设计方面：</w:t>
            </w:r>
            <w:r>
              <w:br/>
            </w:r>
            <w:r>
              <w:rPr>
                <w:rFonts w:ascii="仿宋_GB2312" w:hAnsi="仿宋_GB2312" w:cs="仿宋_GB2312" w:eastAsia="仿宋_GB2312"/>
              </w:rPr>
              <w:t xml:space="preserve"> ⑴核查并签发施工图，发现问题向委托人反映，重大问题向委托人做专题报告。</w:t>
            </w:r>
            <w:r>
              <w:br/>
            </w:r>
            <w:r>
              <w:rPr>
                <w:rFonts w:ascii="仿宋_GB2312" w:hAnsi="仿宋_GB2312" w:cs="仿宋_GB2312" w:eastAsia="仿宋_GB2312"/>
              </w:rPr>
              <w:t xml:space="preserve"> ⑵主持或与委托人联合主持设计技术交底会议，编写会议纪要。</w:t>
            </w:r>
            <w:r>
              <w:br/>
            </w:r>
            <w:r>
              <w:rPr>
                <w:rFonts w:ascii="仿宋_GB2312" w:hAnsi="仿宋_GB2312" w:cs="仿宋_GB2312" w:eastAsia="仿宋_GB2312"/>
              </w:rPr>
              <w:t xml:space="preserve"> ⑶协助委托人会同设计人对重大技术问题和优化设计进行专题讨论。</w:t>
            </w:r>
            <w:r>
              <w:br/>
            </w:r>
            <w:r>
              <w:rPr>
                <w:rFonts w:ascii="仿宋_GB2312" w:hAnsi="仿宋_GB2312" w:cs="仿宋_GB2312" w:eastAsia="仿宋_GB2312"/>
              </w:rPr>
              <w:t xml:space="preserve"> ⑷审核承包人对施工图的意见和建议，协助委托人会同设计人进行研究；</w:t>
            </w:r>
            <w:r>
              <w:br/>
            </w:r>
            <w:r>
              <w:rPr>
                <w:rFonts w:ascii="仿宋_GB2312" w:hAnsi="仿宋_GB2312" w:cs="仿宋_GB2312" w:eastAsia="仿宋_GB2312"/>
              </w:rPr>
              <w:t xml:space="preserve"> 2、施工方面：</w:t>
            </w:r>
            <w:r>
              <w:br/>
            </w:r>
            <w:r>
              <w:rPr>
                <w:rFonts w:ascii="仿宋_GB2312" w:hAnsi="仿宋_GB2312" w:cs="仿宋_GB2312" w:eastAsia="仿宋_GB2312"/>
              </w:rPr>
              <w:t xml:space="preserve"> ⑴全面管理工程施工合同，审查承包人选择的分包单位，并报委托人批准；督促委托人按工程施工合同的约定，落实必须提供的施工条件；检查承包人的开工准备工作；审核按工程施工合同文件约定应由承包人提交的设计文件；审查承包人提交的施工组织设计、施工进度计划、施工措施计划；审核工艺试验成果等。</w:t>
            </w:r>
            <w:r>
              <w:br/>
            </w:r>
            <w:r>
              <w:rPr>
                <w:rFonts w:ascii="仿宋_GB2312" w:hAnsi="仿宋_GB2312" w:cs="仿宋_GB2312" w:eastAsia="仿宋_GB2312"/>
              </w:rPr>
              <w:t xml:space="preserve"> ⑵工程进度控制。协助委托人编制控制性总进度计划，审批承包人编制的进度计划；检查实施情况，督促承包人采取措施，实现合同工期目标。当实施进度发生较大偏差时，要求承包人调整进度计划；向委托人提出调整控制性进度计划的建议意见。</w:t>
            </w:r>
            <w:r>
              <w:br/>
            </w:r>
            <w:r>
              <w:rPr>
                <w:rFonts w:ascii="仿宋_GB2312" w:hAnsi="仿宋_GB2312" w:cs="仿宋_GB2312" w:eastAsia="仿宋_GB2312"/>
              </w:rPr>
              <w:t xml:space="preserve"> ⑶施工质量控制。审查承包人的质量保证体系和措施；审查承包人的实验室条件；依据工程施工合同文件、设计文件、技术标准，对施工全过程进行检查，对重要部位、关键工序进行旁站监理；按照有关规定，对承包人进场的工程设备、建筑材料、建筑构配件、中间产品进行跟踪检测和平行检测，复核承包人自评的工程质量等级；审核承包人提出的工程质量缺陷处理方案，参与调查质量事故。</w:t>
            </w:r>
            <w:r>
              <w:br/>
            </w:r>
            <w:r>
              <w:rPr>
                <w:rFonts w:ascii="仿宋_GB2312" w:hAnsi="仿宋_GB2312" w:cs="仿宋_GB2312" w:eastAsia="仿宋_GB2312"/>
              </w:rPr>
              <w:t xml:space="preserve"> ⑷资金控制。协助委托人编制付款计划；审查承包人提交的资金流计划：核定承包人完成的工程量，审核承包人提交的支付申请，签发付款凭证；受理索赔申请，提出处理建议意见；处理工程变更。</w:t>
            </w:r>
            <w:r>
              <w:br/>
            </w:r>
            <w:r>
              <w:rPr>
                <w:rFonts w:ascii="仿宋_GB2312" w:hAnsi="仿宋_GB2312" w:cs="仿宋_GB2312" w:eastAsia="仿宋_GB2312"/>
              </w:rPr>
              <w:t xml:space="preserve"> ⑸施工安全控制。审查承包人提出的安全技术措施、专项施工方案，并检查实施情况；检查防洪度汛措施落实情况；参与安全事故调查。</w:t>
            </w:r>
            <w:r>
              <w:br/>
            </w:r>
            <w:r>
              <w:rPr>
                <w:rFonts w:ascii="仿宋_GB2312" w:hAnsi="仿宋_GB2312" w:cs="仿宋_GB2312" w:eastAsia="仿宋_GB2312"/>
              </w:rPr>
              <w:t xml:space="preserve"> ⑹协调施工合同各方之间的关系。</w:t>
            </w:r>
            <w:r>
              <w:br/>
            </w:r>
            <w:r>
              <w:rPr>
                <w:rFonts w:ascii="仿宋_GB2312" w:hAnsi="仿宋_GB2312" w:cs="仿宋_GB2312" w:eastAsia="仿宋_GB2312"/>
              </w:rPr>
              <w:t xml:space="preserve"> ⑺按有关规定参加工程验收，负责完成监理资料的汇总、整理，协助委托人检查承包人的合同执行情况；做好验收的各项准备工作或者配合工作，提供工程监理资料，提交监理工作报告。</w:t>
            </w:r>
            <w:r>
              <w:br/>
            </w:r>
            <w:r>
              <w:rPr>
                <w:rFonts w:ascii="仿宋_GB2312" w:hAnsi="仿宋_GB2312" w:cs="仿宋_GB2312" w:eastAsia="仿宋_GB2312"/>
              </w:rPr>
              <w:t xml:space="preserve"> ⑻档案管理。做好施工现场的监理记录与信息反馈，做好监理文档管理工作，合同期限届满时按照档案管理要求整理、归档并移交委托人。</w:t>
            </w:r>
            <w:r>
              <w:br/>
            </w:r>
            <w:r>
              <w:rPr>
                <w:rFonts w:ascii="仿宋_GB2312" w:hAnsi="仿宋_GB2312" w:cs="仿宋_GB2312" w:eastAsia="仿宋_GB2312"/>
              </w:rPr>
              <w:t xml:space="preserve"> ⑼监督承包人执行保修期工作计划，检查和验收尾工项目，对已移交工程中出现的质量缺陷等调查原因并提出处理意见。</w:t>
            </w:r>
            <w:r>
              <w:br/>
            </w:r>
            <w:r>
              <w:rPr>
                <w:rFonts w:ascii="仿宋_GB2312" w:hAnsi="仿宋_GB2312" w:cs="仿宋_GB2312" w:eastAsia="仿宋_GB2312"/>
              </w:rPr>
              <w:t xml:space="preserve"> 3、建设管理方面</w:t>
            </w:r>
            <w:r>
              <w:br/>
            </w:r>
            <w:r>
              <w:rPr>
                <w:rFonts w:ascii="仿宋_GB2312" w:hAnsi="仿宋_GB2312" w:cs="仿宋_GB2312" w:eastAsia="仿宋_GB2312"/>
              </w:rPr>
              <w:t xml:space="preserve"> ⑴组织项目实施，抓好项目建设管理，对建设工期、施工质量、安全生产和施工结算等负责，依法承担项目建设的质量责任和安全生产责任。</w:t>
            </w:r>
            <w:r>
              <w:br/>
            </w:r>
            <w:r>
              <w:rPr>
                <w:rFonts w:ascii="仿宋_GB2312" w:hAnsi="仿宋_GB2312" w:cs="仿宋_GB2312" w:eastAsia="仿宋_GB2312"/>
              </w:rPr>
              <w:t xml:space="preserve"> ⑵组织编报项目实施计划和资金使用计划，并定期向项目管理单位报送工程进度、质量、安全和施工结算等情况。</w:t>
            </w:r>
            <w:r>
              <w:br/>
            </w:r>
            <w:r>
              <w:rPr>
                <w:rFonts w:ascii="仿宋_GB2312" w:hAnsi="仿宋_GB2312" w:cs="仿宋_GB2312" w:eastAsia="仿宋_GB2312"/>
              </w:rPr>
              <w:t xml:space="preserve"> ⑶配合做好上级有关部门（单位）的稽察、检查、审计等工作。</w:t>
            </w:r>
            <w:r>
              <w:br/>
            </w:r>
            <w:r>
              <w:rPr>
                <w:rFonts w:ascii="仿宋_GB2312" w:hAnsi="仿宋_GB2312" w:cs="仿宋_GB2312" w:eastAsia="仿宋_GB2312"/>
              </w:rPr>
              <w:t xml:space="preserve"> ⑷按照水利工程验收相关规定，组织项目分部工程、单位工程、合同工程验收；组织参建单位做好项目阶段验收、专项验收、竣工验收各项准备工作。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r>
              <w:br/>
            </w:r>
            <w:r>
              <w:rPr>
                <w:rFonts w:ascii="仿宋_GB2312" w:hAnsi="仿宋_GB2312" w:cs="仿宋_GB2312" w:eastAsia="仿宋_GB2312"/>
              </w:rPr>
              <w:t xml:space="preserve"> 1、成交内容：本项目采购内容及成交供应商的响应内容。</w:t>
            </w:r>
            <w:r>
              <w:br/>
            </w:r>
            <w:r>
              <w:rPr>
                <w:rFonts w:ascii="仿宋_GB2312" w:hAnsi="仿宋_GB2312" w:cs="仿宋_GB2312" w:eastAsia="仿宋_GB2312"/>
              </w:rPr>
              <w:t xml:space="preserve"> 2、服务范围：满足采购内容。</w:t>
            </w:r>
            <w:r>
              <w:br/>
            </w:r>
            <w:r>
              <w:rPr>
                <w:rFonts w:ascii="仿宋_GB2312" w:hAnsi="仿宋_GB2312" w:cs="仿宋_GB2312" w:eastAsia="仿宋_GB2312"/>
              </w:rPr>
              <w:t xml:space="preserve"> 3、服务要求：监理服务工作质量达到国家有关规范合格标准。</w:t>
            </w:r>
            <w:r>
              <w:br/>
            </w:r>
            <w:r>
              <w:rPr>
                <w:rFonts w:ascii="仿宋_GB2312" w:hAnsi="仿宋_GB2312" w:cs="仿宋_GB2312" w:eastAsia="仿宋_GB2312"/>
              </w:rPr>
              <w:t xml:space="preserve"> 4、服务时间：施工全过程直至工程竣工验收合格质保期满。实际开工日期以采购人通知进场日期为准。</w:t>
            </w:r>
            <w:r>
              <w:br/>
            </w:r>
            <w:r>
              <w:rPr>
                <w:rFonts w:ascii="仿宋_GB2312" w:hAnsi="仿宋_GB2312" w:cs="仿宋_GB2312" w:eastAsia="仿宋_GB2312"/>
              </w:rPr>
              <w:t xml:space="preserve"> 5、服务标准：满足国家、省、市相关技术规范要求。</w:t>
            </w:r>
            <w:r>
              <w:br/>
            </w:r>
            <w:r>
              <w:rPr>
                <w:rFonts w:ascii="仿宋_GB2312" w:hAnsi="仿宋_GB2312" w:cs="仿宋_GB2312" w:eastAsia="仿宋_GB2312"/>
              </w:rPr>
              <w:t xml:space="preserve"> 6、服务地点：采购人指定地点。</w:t>
            </w:r>
            <w:r>
              <w:br/>
            </w:r>
            <w:r>
              <w:rPr>
                <w:rFonts w:ascii="仿宋_GB2312" w:hAnsi="仿宋_GB2312" w:cs="仿宋_GB2312" w:eastAsia="仿宋_GB2312"/>
              </w:rPr>
              <w:t xml:space="preserve"> 7、主要监理人员要求：监理工程师应具有中华人民共和国水利相关专业监理工程师注册证书，监理工程师的配备数量，应满足现场监理工作需要。</w:t>
            </w:r>
            <w:r>
              <w:br/>
            </w:r>
            <w:r>
              <w:rPr>
                <w:rFonts w:ascii="仿宋_GB2312" w:hAnsi="仿宋_GB2312" w:cs="仿宋_GB2312" w:eastAsia="仿宋_GB2312"/>
              </w:rPr>
              <w:t xml:space="preserve"> 8、合同与支付：监理服务合同为总价合同。</w:t>
            </w:r>
            <w:r>
              <w:br/>
            </w:r>
            <w:r>
              <w:rPr>
                <w:rFonts w:ascii="仿宋_GB2312" w:hAnsi="仿宋_GB2312" w:cs="仿宋_GB2312" w:eastAsia="仿宋_GB2312"/>
              </w:rPr>
              <w:t xml:space="preserve"> 合同签订工程开工后预付20%，主体工程完成投资超过施工合同70%后，支付至90%；全部工程完工验收合格后，14日内采购人一次性付清尾款。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质量验收执行《水利水电工程单元工程施工质量验收评定标准》（SL/T631.1-2025、SL/T631.2-2025、SL/T631.3-2025）、《水利水电建设工程验收规程》（SL/T223-2025）等有关技术规范标准。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响应文件递交截止时间前线下提交响应文件正本壹份、副本贰份、电子版贰份（U盘）须标明供应商名称，响应文件的正本、副本、电子版应分开包装，共3个标袋，加贴封条，并在封套的封口处加盖供应商单位公章。若电子响应文件与纸质响应文件不一致的，以电子响应文件为准；若正本和副本不符，以正本为准。线下递交文件截止时间：详见本项目磋商公告确定的递交响应文件截止时间；线下递交文件地点：陕西省西安市雁塔区科创路丽湾蓝岛B座805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提供响应文件递交截止时间前6个月内已缴纳的至少一个月的纳税证明或完税证明，依法免税的投标人应提供相关文件证明；供应商需在项目电子化交易系统中按要求上传相应证明文件并进行电子签章。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已缴纳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具有水利工程施工监理乙级（含乙级）以上资质；供应商需在项目电子化交易系统中按要求上传相应证明文件并进行电子签章。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拟派总监理工程师资质要求</w:t>
            </w:r>
          </w:p>
        </w:tc>
        <w:tc>
          <w:tcPr>
            <w:tcW w:type="dxa" w:w="3322"/>
          </w:tcPr>
          <w:p>
            <w:pPr>
              <w:pStyle w:val="null3"/>
            </w:pPr>
            <w:r>
              <w:rPr>
                <w:rFonts w:ascii="仿宋_GB2312" w:hAnsi="仿宋_GB2312" w:cs="仿宋_GB2312" w:eastAsia="仿宋_GB2312"/>
              </w:rPr>
              <w:t>拟派总监理工程师应具有中华人民共和国水利相关专业监理工程师注册证书，且具有水利相关专业高级工程师及以上职称；供应商需在项目电子化交易系统中按要求上传相应证明文件并进行电子签章。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技术服务合同条款及其他商务要求应答表.docx 中小企业声明函 资格证明文件.docx 监理分项报价清单.docx 响应文件封面 方案说明.docx 项目管理机构组成表 主要人员简历表.docx 供应商认为有必要补充说明的事项.docx 残疾人福利性单位声明函 报价函 标的清单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技术服务合同条款及其他商务要求应答表.docx 中小企业声明函 资格证明文件.docx 监理分项报价清单.docx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响应文件封面 监理分项报价清单.docx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技术服务合同条款及其他商务要求应答表.docx 中小企业声明函 资格证明文件.docx 监理分项报价清单.docx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服务期和质量等内容响应磋商文件要求</w:t>
            </w:r>
          </w:p>
        </w:tc>
        <w:tc>
          <w:tcPr>
            <w:tcW w:type="dxa" w:w="1661"/>
          </w:tcPr>
          <w:p>
            <w:pPr>
              <w:pStyle w:val="null3"/>
            </w:pPr>
            <w:r>
              <w:rPr>
                <w:rFonts w:ascii="仿宋_GB2312" w:hAnsi="仿宋_GB2312" w:cs="仿宋_GB2312" w:eastAsia="仿宋_GB2312"/>
              </w:rPr>
              <w:t>技术服务合同条款及其他商务要求应答表.docx 中小企业声明函 资格证明文件.docx 监理分项报价清单.docx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技术服务合同条款及其他商务要求应答表.docx 中小企业声明函 资格证明文件.docx 监理分项报价清单.docx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针对本项目内容提出适用于本项目的监理大纲方案，包括但不限于①监理工作目标及依据②监理工作程序、监理工作制度；二、评审标准：1、完整性：方案必须全面，对评审内容中的各项要求有详细描述；2、针对性：方案能够紧扣项目实际情况，内容科学合理；3、可实施性：切合本项目实际情况，提出步骤清晰、合理的方案。三、赋分标准（满分12分）①监理工作目标及依据：每完全满足一个评审标准得2分；针对评审标准存在有不合理处的得1分；内容与本项目无关或未提供的得0分。②监理工作程序、监理工作制度：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进度计划与措施</w:t>
            </w:r>
          </w:p>
        </w:tc>
        <w:tc>
          <w:tcPr>
            <w:tcW w:type="dxa" w:w="2492"/>
          </w:tcPr>
          <w:p>
            <w:pPr>
              <w:pStyle w:val="null3"/>
            </w:pPr>
            <w:r>
              <w:rPr>
                <w:rFonts w:ascii="仿宋_GB2312" w:hAnsi="仿宋_GB2312" w:cs="仿宋_GB2312" w:eastAsia="仿宋_GB2312"/>
              </w:rPr>
              <w:t>一、评审内容：针对本项目内容提出适用于本项目的进度计划与措施方案，包括但不限于①组织协调措施②进度控制管理措施；二、评审标准：1、完整性：方案必须全面，对评审内容中的各项要求有详细描述；2、针对性：方案能够紧扣项目实际情况，内容科学合理；3、可实施性：切合本项目实际情况，提出步骤清晰、合理的方案。三、赋分标准（满分12分）①组织协调措施：每完全满足一个评审标准得2分；针对评审标准存在有不合理处的得1分；内容与本项目无关或未提供的得0分。②进度控制管理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一、评审内容：针对本项目内容提出适用于本项目的质量控制管理措施方案，包括但不限于①质量控制管理措施②检测试验计划（包括重点部位和关键工序）；二、评审标准：1、完整性：方案必须全面，对评审内容中的各项要求有详细描述；2、针对性：方案能够紧扣项目实际情况，内容科学合理；3、可实施性：切合本项目实际情况，提出步骤清晰、合理的方案。三、赋分标准（满分9分）①质量控制管理措施：每完全满足一个评审标准得1分；针对评审标准存在有不合理处的得0.5分；内容与本项目无关或未提供的得0分。②检测试验计划（包括重点部位和关键工序）：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一、评审内容：针对本项目内容提出适用于本项目的投资控制管理措施案；二、评审标准：1、完整性：方案必须全面，对评审内容中的各项要求有详细描述；2、针对性：方案能够紧扣项目实际情况，内容科学合理；3、可实施性：切合本项目实际情况，提出步骤清晰、合理的方案。三、赋分标准（满分6分）投资控制管理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一、评审内容：针对本项目内容提出适用于本项目的安全保证措施方案，包括但不限于施工安全监督管理措施；二、评审标准：1、完整性：方案必须全面，对评审内容中的各项要求有详细描述；2、针对性：方案能够紧扣项目实际情况，内容科学合理；3、可实施性：切合本项目实际情况，提出步骤清晰、合理的方案。三、赋分标准（满分3分）施工安全监督管理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文明施工管理措施</w:t>
            </w:r>
          </w:p>
        </w:tc>
        <w:tc>
          <w:tcPr>
            <w:tcW w:type="dxa" w:w="2492"/>
          </w:tcPr>
          <w:p>
            <w:pPr>
              <w:pStyle w:val="null3"/>
            </w:pPr>
            <w:r>
              <w:rPr>
                <w:rFonts w:ascii="仿宋_GB2312" w:hAnsi="仿宋_GB2312" w:cs="仿宋_GB2312" w:eastAsia="仿宋_GB2312"/>
              </w:rPr>
              <w:t>一、评审内容：针对本项目内容提出适用于本项目的文明施工管理措施方案，包括但不限于①文明施工②环境保护③治污减霾监督管理措施；二、评审标准：1、完整性：方案必须全面，对评审内容中的各项要求有详细描述；2、针对性：方案能够紧扣项目实际情况，内容科学合理；3、可实施性：切合本项目实际情况，提出步骤清晰、合理的方案。三、赋分标准（满分9分）①文明施工：每完全满足一个评审标准得1分；针对评审标准存在有不合理处的得0.5分；内容与本项目无关或未提供的得0分。②环境保护：每完全满足一个评审标准得1分；针对评审标准存在有不合理处的得0.5分；内容与本项目无关或未提供的得0分。③治污减霾监督管理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资料管理措施</w:t>
            </w:r>
          </w:p>
        </w:tc>
        <w:tc>
          <w:tcPr>
            <w:tcW w:type="dxa" w:w="2492"/>
          </w:tcPr>
          <w:p>
            <w:pPr>
              <w:pStyle w:val="null3"/>
            </w:pPr>
            <w:r>
              <w:rPr>
                <w:rFonts w:ascii="仿宋_GB2312" w:hAnsi="仿宋_GB2312" w:cs="仿宋_GB2312" w:eastAsia="仿宋_GB2312"/>
              </w:rPr>
              <w:t>一、评审内容：针对本项目内容提出适用于本项目的资料管理措施方案，包括但不限于①信息、合同方面协调管理措施②监理资料的管理③保修阶段的服务工作；二、评审标准：1、完整性：方案必须全面，对评审内容中的各项要求有详细描述；2、针对性：方案能够紧扣项目实际情况，内容科学合理；3、可实施性：切合本项目实际情况，提出步骤清晰、合理的方案。三、赋分标准（满分9分）①信息、合同方面协调管理措施：每完全满足一个评审标准得1分；针对评审标准存在有不合理处的得0.5分；内容与本项目无关或未提供的得0分。②监理资料的管理：每完全满足一个评审标准得1分；针对评审标准存在有不合理处的得0.5分；内容与本项目无关或未提供的得0分。③保修阶段的服务工作：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拟投入人员及设备配备</w:t>
            </w:r>
          </w:p>
        </w:tc>
        <w:tc>
          <w:tcPr>
            <w:tcW w:type="dxa" w:w="2492"/>
          </w:tcPr>
          <w:p>
            <w:pPr>
              <w:pStyle w:val="null3"/>
            </w:pPr>
            <w:r>
              <w:rPr>
                <w:rFonts w:ascii="仿宋_GB2312" w:hAnsi="仿宋_GB2312" w:cs="仿宋_GB2312" w:eastAsia="仿宋_GB2312"/>
              </w:rPr>
              <w:t>一、评审内容：针对本项目内容提出适用于本项目的拟投入人员及设备配备方案，包括但不限于①拟投入人员②拟投入设备；二、评审标准：1、完整性：人员及设备数量满足需要；2、针对性：人员专业设置、设备类型满足需要，配备合理；三、赋分标准（满分6分）①拟投入人员：每完全满足一个评审标准得2分；针对评审标准存在有不合理处的得1分；内容与本项目无关或未提供的得0分。②拟投入设备：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供应商提供自2022年09月01日至本项目响应文件递交截止时间前的类似水利相关工程监理项目证明材料，每提供1项得1分，最多得4分。未提供的或所提供资料不符合要求的不得分。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1.经资格审查、符合性审查合格的投标投标文件，其投标报价为有效投标报价。 2.评标基准价=有效投标报价之和/有效投标家数 3.投标报价与评标基准价相比，正偏差每1%扣0.5分；负偏差每1%扣0.25分，扣完为止。 对小型和微型企业的报价给予3%的价格扣除，用扣除后的价格参与评审；未提供中小企业声明函的不享受价格折扣。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监理分项报价清单.docx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详见附件：监理分项报价清单.docx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详见附件：无围标、串标行为承诺书.docx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