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版本号：KY2025-1-81820250930002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陕西省医疗保障信息平台智能客服服务项目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KY2025-1-818</w:t>
      </w:r>
      <w:r>
        <w:br/>
      </w:r>
      <w:r>
        <w:br/>
      </w:r>
      <w:r>
        <w:br/>
      </w:r>
    </w:p>
    <w:p>
      <w:pPr>
        <w:pStyle w:val="null3"/>
        <w:jc w:val="center"/>
        <w:outlineLvl w:val="2"/>
      </w:pPr>
      <w:r>
        <w:rPr>
          <w:rFonts w:ascii="仿宋_GB2312" w:hAnsi="仿宋_GB2312" w:cs="仿宋_GB2312" w:eastAsia="仿宋_GB2312"/>
          <w:sz w:val="28"/>
          <w:b/>
        </w:rPr>
        <w:t>陕西省医疗保障技术服务中心</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陕西省医疗保障技术服务中心</w:t>
      </w:r>
      <w:r>
        <w:rPr>
          <w:rFonts w:ascii="仿宋_GB2312" w:hAnsi="仿宋_GB2312" w:cs="仿宋_GB2312" w:eastAsia="仿宋_GB2312"/>
        </w:rPr>
        <w:t>委托，拟对</w:t>
      </w:r>
      <w:r>
        <w:rPr>
          <w:rFonts w:ascii="仿宋_GB2312" w:hAnsi="仿宋_GB2312" w:cs="仿宋_GB2312" w:eastAsia="仿宋_GB2312"/>
        </w:rPr>
        <w:t>陕西省医疗保障信息平台智能客服服务项目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KY2025-1-818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陕西省医疗保障信息平台智能客服服务项目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陕西省医疗保障信息平台智能客服服务项目，具体内容详见招标文件第三章。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8月至今已缴纳至少三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4、社会保障资金缴存证明：提供2024年8月至今已缴存的至少三个月的社会保障资金缴存单据或社保机构开具的社会保险参保缴费情况证明，依法不需要缴纳社会保障资金的单位应提供相关证明材料。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陕西省医疗保障技术服务中心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雁塔区锦业一路60号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029-61320021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杭琨、牛佩文、吕江涛、刘金柯、卢韶华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银行账号：86113010750181502000393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代理服务费收费标准：参照国家计委《招标代理服务费收费管理暂行办法（计价格〔2002〕1980号）的标准下浮10%收取。本项目代理服务费按服务计取。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陕西省医疗保障技术服务中心</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陕西省医疗保障技术服务中心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陕西省医疗保障技术服务中心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由陕西省医疗保障技术服务中心统一组织，采购人与相关人员组成验收小组完成验收。双方根据最终验收情况，编写最终验收报告。中标人应完成项目验收资料的准备。 在服务过程中出现性能指标或功能上不符合标书和合同要求时，由中标人负责解决，采购人有拒绝验收的权利并保留索赔权利。 本项目的实施过程中将产生大量的技术及管理文档，中标人应协助采购人，负责建立、维护、交接项目实施过程中产生的各类文档，确保项目文档的内容体现本项目的实施过程，并确保项目文档的完整性和准确性。</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联系人：杭琨、牛佩文</w:t>
      </w:r>
    </w:p>
    <w:p>
      <w:pPr>
        <w:pStyle w:val="null3"/>
      </w:pPr>
      <w:r>
        <w:rPr>
          <w:rFonts w:ascii="仿宋_GB2312" w:hAnsi="仿宋_GB2312" w:cs="仿宋_GB2312" w:eastAsia="仿宋_GB2312"/>
        </w:rPr>
        <w:t>联系电话：：029-81206622-825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陕西省医疗保障信息平台智能客服服务项目，具体内容详见项目需求。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陕西省医疗保障信息平台智能客服服务项目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标的名称：陕西省医疗保障信息平台智能客服服务项目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一、项目基本情况</w:t>
            </w:r>
          </w:p>
          <w:tbl>
            <w:tblPr>
              <w:tblBorders>
                <w:top w:val="none" w:color="000000" w:sz="4"/>
                <w:left w:val="none" w:color="000000" w:sz="4"/>
                <w:bottom w:val="none" w:color="000000" w:sz="4"/>
                <w:right w:val="none" w:color="000000" w:sz="4"/>
                <w:insideH w:val="none"/>
                <w:insideV w:val="none"/>
              </w:tblBorders>
            </w:tblPr>
            <w:tblGrid>
              <w:gridCol w:w="190"/>
              <w:gridCol w:w="320"/>
              <w:gridCol w:w="2043"/>
            </w:tblGrid>
            <w:tr>
              <w:tc>
                <w:tcPr>
                  <w:tcW w:type="dxa" w:w="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内容</w:t>
                  </w:r>
                </w:p>
              </w:tc>
              <w:tc>
                <w:tcPr>
                  <w:tcW w:type="dxa" w:w="20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说明</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项目背景</w:t>
                  </w:r>
                </w:p>
              </w:tc>
              <w:tc>
                <w:tcPr>
                  <w:tcW w:type="dxa" w:w="2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为贯彻落实国务院办公厅《关于切实解决老年人运用智能技术困难的实施方案》（国办发〔</w:t>
                  </w:r>
                  <w:r>
                    <w:rPr>
                      <w:rFonts w:ascii="仿宋_GB2312" w:hAnsi="仿宋_GB2312" w:cs="仿宋_GB2312" w:eastAsia="仿宋_GB2312"/>
                      <w:sz w:val="21"/>
                    </w:rPr>
                    <w:t>2020〕45号）通知精神，结合《中共中央国务院关于深化医疗保障制度改革的意见》（中发〔2020〕5号）的文件要求，利用5G视频客服打造陕西省特色的医保业务服务平台，实现医保业务办理全程线上化、无纸化和数智化，提高医保行业标准化、智能化及信息化水平，推动陕西省医保事业发展，推动医保、医疗、医药改革联动，加快践行统一高效的全民医疗保障制度，更好地满足人民群众日益增长的医疗保障需求，推进健康陕西建设，助推新时代陕西落实“五新”战略任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执行依据</w:t>
                  </w:r>
                </w:p>
              </w:tc>
              <w:tc>
                <w:tcPr>
                  <w:tcW w:type="dxa" w:w="2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国家医疗保障局下发的以下文件：</w:t>
                  </w:r>
                </w:p>
                <w:p>
                  <w:pPr>
                    <w:pStyle w:val="null3"/>
                    <w:jc w:val="both"/>
                  </w:pPr>
                  <w:r>
                    <w:rPr>
                      <w:rFonts w:ascii="仿宋_GB2312" w:hAnsi="仿宋_GB2312" w:cs="仿宋_GB2312" w:eastAsia="仿宋_GB2312"/>
                      <w:sz w:val="21"/>
                    </w:rPr>
                    <w:t>《医疗保障信息平台建设指南》；</w:t>
                  </w:r>
                </w:p>
                <w:p>
                  <w:pPr>
                    <w:pStyle w:val="null3"/>
                    <w:jc w:val="both"/>
                  </w:pPr>
                  <w:r>
                    <w:rPr>
                      <w:rFonts w:ascii="仿宋_GB2312" w:hAnsi="仿宋_GB2312" w:cs="仿宋_GB2312" w:eastAsia="仿宋_GB2312"/>
                      <w:sz w:val="21"/>
                    </w:rPr>
                    <w:t>《关于医疗保障信息化工作的指导意见》；</w:t>
                  </w:r>
                </w:p>
                <w:p>
                  <w:pPr>
                    <w:pStyle w:val="null3"/>
                    <w:jc w:val="both"/>
                  </w:pPr>
                  <w:r>
                    <w:rPr>
                      <w:rFonts w:ascii="仿宋_GB2312" w:hAnsi="仿宋_GB2312" w:cs="仿宋_GB2312" w:eastAsia="仿宋_GB2312"/>
                      <w:sz w:val="21"/>
                    </w:rPr>
                    <w:t>《医疗保障信息系统安全开发规范》；</w:t>
                  </w:r>
                </w:p>
                <w:p>
                  <w:pPr>
                    <w:pStyle w:val="null3"/>
                    <w:jc w:val="both"/>
                  </w:pPr>
                  <w:r>
                    <w:rPr>
                      <w:rFonts w:ascii="仿宋_GB2312" w:hAnsi="仿宋_GB2312" w:cs="仿宋_GB2312" w:eastAsia="仿宋_GB2312"/>
                      <w:sz w:val="21"/>
                    </w:rPr>
                    <w:t>《医疗保障核心业务区网络安全接入规范》；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XJ-A01-2019医疗保障信息平台云计算平台规范》；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XJ-B01-2019医疗保障信息平台应用系统技术架构规范》；</w:t>
                  </w:r>
                </w:p>
                <w:p>
                  <w:pPr>
                    <w:pStyle w:val="null3"/>
                    <w:jc w:val="both"/>
                  </w:pPr>
                  <w:r>
                    <w:rPr>
                      <w:rFonts w:ascii="仿宋_GB2312" w:hAnsi="仿宋_GB2312" w:cs="仿宋_GB2312" w:eastAsia="仿宋_GB2312"/>
                      <w:sz w:val="21"/>
                    </w:rPr>
                    <w:t>《国家医疗保障局关于进一步深化推进医保信息化标准化工作的通知》</w:t>
                  </w:r>
                </w:p>
                <w:p>
                  <w:pPr>
                    <w:pStyle w:val="null3"/>
                    <w:jc w:val="both"/>
                  </w:pPr>
                  <w:r>
                    <w:rPr>
                      <w:rFonts w:ascii="仿宋_GB2312" w:hAnsi="仿宋_GB2312" w:cs="仿宋_GB2312" w:eastAsia="仿宋_GB2312"/>
                      <w:sz w:val="21"/>
                    </w:rPr>
                    <w:t>《关于切实解决老年人运用智能技术困难的实施方案》（国办发〔</w:t>
                  </w:r>
                  <w:r>
                    <w:rPr>
                      <w:rFonts w:ascii="仿宋_GB2312" w:hAnsi="仿宋_GB2312" w:cs="仿宋_GB2312" w:eastAsia="仿宋_GB2312"/>
                      <w:sz w:val="21"/>
                    </w:rPr>
                    <w:t>2020〕45号）</w:t>
                  </w:r>
                </w:p>
                <w:p>
                  <w:pPr>
                    <w:pStyle w:val="null3"/>
                    <w:jc w:val="both"/>
                  </w:pPr>
                  <w:r>
                    <w:rPr>
                      <w:rFonts w:ascii="仿宋_GB2312" w:hAnsi="仿宋_GB2312" w:cs="仿宋_GB2312" w:eastAsia="仿宋_GB2312"/>
                      <w:sz w:val="21"/>
                    </w:rPr>
                    <w:t>《中共中央国务院关于深化医疗保障制度改革的意见》（中发〔</w:t>
                  </w:r>
                  <w:r>
                    <w:rPr>
                      <w:rFonts w:ascii="仿宋_GB2312" w:hAnsi="仿宋_GB2312" w:cs="仿宋_GB2312" w:eastAsia="仿宋_GB2312"/>
                      <w:sz w:val="21"/>
                    </w:rPr>
                    <w:t>2020〕5号）</w:t>
                  </w:r>
                </w:p>
                <w:p>
                  <w:pPr>
                    <w:pStyle w:val="null3"/>
                    <w:jc w:val="both"/>
                  </w:pPr>
                  <w:r>
                    <w:rPr>
                      <w:rFonts w:ascii="仿宋_GB2312" w:hAnsi="仿宋_GB2312" w:cs="仿宋_GB2312" w:eastAsia="仿宋_GB2312"/>
                      <w:sz w:val="21"/>
                    </w:rPr>
                    <w:t>《国务院办公厅关于印发</w:t>
                  </w:r>
                  <w:r>
                    <w:rPr>
                      <w:rFonts w:ascii="仿宋_GB2312" w:hAnsi="仿宋_GB2312" w:cs="仿宋_GB2312" w:eastAsia="仿宋_GB2312"/>
                      <w:sz w:val="21"/>
                    </w:rPr>
                    <w:t>“十四五”全民医疗保障规划的通知》（国办发〔2021〕36号）。</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项目目标</w:t>
                  </w:r>
                </w:p>
              </w:tc>
              <w:tc>
                <w:tcPr>
                  <w:tcW w:type="dxa" w:w="2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通过智能客服平台与运营服务体系建设，发挥</w:t>
                  </w:r>
                  <w:r>
                    <w:rPr>
                      <w:rFonts w:ascii="仿宋_GB2312" w:hAnsi="仿宋_GB2312" w:cs="仿宋_GB2312" w:eastAsia="仿宋_GB2312"/>
                      <w:sz w:val="21"/>
                    </w:rPr>
                    <w:t>“5G视频+智能化+医保”思维，应用5G视频、AI智能化、移动互联网等先进成熟技术，升级为可视化智能医疗保障服务热线平台，畅通医保部门与广大群众的沟通联络渠道，实现一站式联办、一体化服务，逐步将医疗保障各项服务从线下转至线上，通过“数据多跑路”打通医疗保障公共服务的堵点和难点，不断提升医保能力水平。</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项目内容</w:t>
                  </w:r>
                </w:p>
              </w:tc>
              <w:tc>
                <w:tcPr>
                  <w:tcW w:type="dxa" w:w="2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保智能客服热线平台应以用户需求为导向，以医保知识为核心，以人工智能为驱动，为招标人提供集智能问答、视频服务、知识管理、智能引擎等功能于一体的医保智能客服热线平台服务，实现通过智能客服机器人，提升医保业务咨询业务的人性化、智能化、便捷化，提升医保服务的质量和效率，满足参保群众多样化和个性化的咨询服务需求。</w:t>
                  </w:r>
                </w:p>
              </w:tc>
            </w:tr>
          </w:tbl>
          <w:p>
            <w:pPr>
              <w:pStyle w:val="null3"/>
              <w:jc w:val="both"/>
            </w:pPr>
            <w:r>
              <w:rPr>
                <w:rFonts w:ascii="仿宋_GB2312" w:hAnsi="仿宋_GB2312" w:cs="仿宋_GB2312" w:eastAsia="仿宋_GB2312"/>
                <w:sz w:val="21"/>
                <w:b/>
              </w:rPr>
              <w:t>二、采购内容和采购要求</w:t>
            </w:r>
          </w:p>
          <w:p>
            <w:pPr>
              <w:pStyle w:val="null3"/>
              <w:ind w:firstLine="422"/>
              <w:jc w:val="both"/>
            </w:pPr>
            <w:r>
              <w:rPr>
                <w:rFonts w:ascii="仿宋_GB2312" w:hAnsi="仿宋_GB2312" w:cs="仿宋_GB2312" w:eastAsia="仿宋_GB2312"/>
                <w:sz w:val="21"/>
                <w:b/>
              </w:rPr>
              <w:t>（一）采购清单</w:t>
            </w:r>
          </w:p>
          <w:tbl>
            <w:tblPr>
              <w:tblInd w:type="dxa" w:w="120"/>
              <w:tblBorders>
                <w:top w:val="none" w:color="000000" w:sz="4"/>
                <w:left w:val="none" w:color="000000" w:sz="4"/>
                <w:bottom w:val="none" w:color="000000" w:sz="4"/>
                <w:right w:val="none" w:color="000000" w:sz="4"/>
                <w:insideH w:val="none"/>
                <w:insideV w:val="none"/>
              </w:tblBorders>
            </w:tblPr>
            <w:tblGrid>
              <w:gridCol w:w="430"/>
              <w:gridCol w:w="535"/>
              <w:gridCol w:w="324"/>
              <w:gridCol w:w="303"/>
              <w:gridCol w:w="961"/>
            </w:tblGrid>
            <w:tr>
              <w:tc>
                <w:tcPr>
                  <w:tcW w:type="dxa" w:w="430"/>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项目类型</w:t>
                  </w:r>
                </w:p>
              </w:tc>
              <w:tc>
                <w:tcPr>
                  <w:tcW w:type="dxa" w:w="535"/>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类型　</w:t>
                  </w:r>
                </w:p>
              </w:tc>
              <w:tc>
                <w:tcPr>
                  <w:tcW w:type="dxa" w:w="324"/>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数量</w:t>
                  </w:r>
                </w:p>
              </w:tc>
              <w:tc>
                <w:tcPr>
                  <w:tcW w:type="dxa" w:w="303"/>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单位</w:t>
                  </w:r>
                </w:p>
              </w:tc>
              <w:tc>
                <w:tcPr>
                  <w:tcW w:type="dxa" w:w="961"/>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备注</w:t>
                  </w:r>
                </w:p>
              </w:tc>
            </w:tr>
            <w:tr>
              <w:tc>
                <w:tcPr>
                  <w:tcW w:type="dxa" w:w="43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智能客服服务</w:t>
                  </w:r>
                </w:p>
              </w:tc>
              <w:tc>
                <w:tcPr>
                  <w:tcW w:type="dxa" w:w="535"/>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12393智能客服服务（人工坐席）</w:t>
                  </w:r>
                </w:p>
              </w:tc>
              <w:tc>
                <w:tcPr>
                  <w:tcW w:type="dxa" w:w="32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30</w:t>
                  </w:r>
                </w:p>
              </w:tc>
              <w:tc>
                <w:tcPr>
                  <w:tcW w:type="dxa" w:w="303"/>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个</w:t>
                  </w:r>
                  <w:r>
                    <w:rPr>
                      <w:rFonts w:ascii="仿宋_GB2312" w:hAnsi="仿宋_GB2312" w:cs="仿宋_GB2312" w:eastAsia="仿宋_GB2312"/>
                      <w:sz w:val="21"/>
                    </w:rPr>
                    <w:t>/年</w:t>
                  </w:r>
                </w:p>
              </w:tc>
              <w:tc>
                <w:tcPr>
                  <w:tcW w:type="dxa" w:w="96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其中不少于</w:t>
                  </w:r>
                  <w:r>
                    <w:rPr>
                      <w:rFonts w:ascii="仿宋_GB2312" w:hAnsi="仿宋_GB2312" w:cs="仿宋_GB2312" w:eastAsia="仿宋_GB2312"/>
                      <w:sz w:val="21"/>
                    </w:rPr>
                    <w:t>20个专职人工坐席，及10个机动人员保障人工坐席</w:t>
                  </w:r>
                </w:p>
              </w:tc>
            </w:tr>
          </w:tbl>
          <w:p>
            <w:pPr>
              <w:pStyle w:val="null3"/>
              <w:ind w:firstLine="422"/>
              <w:jc w:val="both"/>
            </w:pPr>
            <w:r>
              <w:rPr>
                <w:rFonts w:ascii="仿宋_GB2312" w:hAnsi="仿宋_GB2312" w:cs="仿宋_GB2312" w:eastAsia="仿宋_GB2312"/>
                <w:sz w:val="21"/>
                <w:b/>
              </w:rPr>
              <w:t>（二）技术参数要求</w:t>
            </w:r>
          </w:p>
          <w:p>
            <w:pPr>
              <w:pStyle w:val="null3"/>
              <w:ind w:firstLine="560"/>
            </w:pPr>
            <w:r>
              <w:rPr>
                <w:rFonts w:ascii="仿宋_GB2312" w:hAnsi="仿宋_GB2312" w:cs="仿宋_GB2312" w:eastAsia="仿宋_GB2312"/>
                <w:sz w:val="21"/>
              </w:rPr>
              <w:t>1.本项目依照《中共中央国务院关于深化医疗保障制度改革的意见》（中发〔2020〕5号），通过医保特服号码12393来建设医保客服服务热线系统。本项目性质为购买服务，投标人按陕西医保服务中心要求提供呼叫中心平台服务、呼叫中心话务运营服务两部分。投标人应在本项目中标公告发出之日起10个工作日内在陕西省行政区域内提供热线办公场地并设置常驻机构，15个工作日内场地需具备能够满足服务要求网络环境及接续环境，25个工作日内全部服务人员到位并符合上岗要求。</w:t>
            </w:r>
          </w:p>
          <w:p>
            <w:pPr>
              <w:pStyle w:val="null3"/>
              <w:ind w:firstLine="560"/>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呼叫中心平台服务主要建设内容：为实现陕西省医保业务办理的全程线上化、无纸化和数智化，充分利用陕西省地区的</w:t>
            </w:r>
            <w:r>
              <w:rPr>
                <w:rFonts w:ascii="仿宋_GB2312" w:hAnsi="仿宋_GB2312" w:cs="仿宋_GB2312" w:eastAsia="仿宋_GB2312"/>
                <w:sz w:val="21"/>
              </w:rPr>
              <w:t>5G网络覆盖优势，结合5G视频客服和智能AI等新技术升级陕西省医保业务服务平台，构建陕西省医保的“全媒体、智能化、多融合、大数据、一体化”架构体系，实现陕西省医保局统一线上业务办理、实施效能监督、数据决策分析、业务服务创新等作用。</w:t>
            </w:r>
          </w:p>
          <w:p>
            <w:pPr>
              <w:pStyle w:val="null3"/>
              <w:ind w:firstLine="560"/>
            </w:pPr>
            <w:r>
              <w:rPr>
                <w:rFonts w:ascii="仿宋_GB2312" w:hAnsi="仿宋_GB2312" w:cs="仿宋_GB2312" w:eastAsia="仿宋_GB2312"/>
                <w:sz w:val="21"/>
              </w:rPr>
              <w:t>采用</w:t>
            </w:r>
            <w:r>
              <w:rPr>
                <w:rFonts w:ascii="仿宋_GB2312" w:hAnsi="仿宋_GB2312" w:cs="仿宋_GB2312" w:eastAsia="仿宋_GB2312"/>
                <w:sz w:val="21"/>
              </w:rPr>
              <w:t>5G视频通信接入技术，建设统一接入的视频医保热线服务平台，为陕西省市民提供全天候无缝的医保服务平台。利用语音识别ASR、语音合成TTS、语音理解NLP等智能AI技术建设数智化医保平台，提升陕西省医保数智化转型，实现降本增效。</w:t>
            </w:r>
          </w:p>
          <w:p>
            <w:pPr>
              <w:pStyle w:val="null3"/>
              <w:ind w:firstLine="560"/>
            </w:pPr>
            <w:r>
              <w:rPr>
                <w:rFonts w:ascii="仿宋_GB2312" w:hAnsi="仿宋_GB2312" w:cs="仿宋_GB2312" w:eastAsia="仿宋_GB2312"/>
                <w:sz w:val="21"/>
              </w:rPr>
              <w:t>3</w:t>
            </w:r>
            <w:r>
              <w:rPr>
                <w:rFonts w:ascii="仿宋_GB2312" w:hAnsi="仿宋_GB2312" w:cs="仿宋_GB2312" w:eastAsia="仿宋_GB2312"/>
                <w:sz w:val="21"/>
              </w:rPr>
              <w:t>.定制化服务首先要满足陕西省12393医保服务热线平台与12345服务热线形成话务转接机制、工单转派机制，当市民拨打12345服务热线询问与医保服务相关问题时，12345服务坐席按照一般类（简单咨询/查询）问题直接进行解答，疑难复杂、业务办理、投诉类问题按照12345服务规范通过电话直接转接或记录工单的形式，转派至12393承接处理。12393与12345定期进行数据交互对接。</w:t>
            </w:r>
          </w:p>
          <w:p>
            <w:pPr>
              <w:pStyle w:val="null3"/>
              <w:ind w:firstLine="560"/>
            </w:pPr>
            <w:r>
              <w:rPr>
                <w:rFonts w:ascii="仿宋_GB2312" w:hAnsi="仿宋_GB2312" w:cs="仿宋_GB2312" w:eastAsia="仿宋_GB2312"/>
                <w:sz w:val="21"/>
              </w:rPr>
              <w:t>4</w:t>
            </w:r>
            <w:r>
              <w:rPr>
                <w:rFonts w:ascii="仿宋_GB2312" w:hAnsi="仿宋_GB2312" w:cs="仿宋_GB2312" w:eastAsia="仿宋_GB2312"/>
                <w:sz w:val="21"/>
              </w:rPr>
              <w:t>.呼叫中心话务运营服务主要包含场地建设、人员配备、现场运营管理和培训、考核、日常管理等。</w:t>
            </w:r>
          </w:p>
          <w:p>
            <w:pPr>
              <w:pStyle w:val="null3"/>
              <w:ind w:firstLine="560"/>
            </w:pPr>
            <w:r>
              <w:rPr>
                <w:rFonts w:ascii="仿宋_GB2312" w:hAnsi="仿宋_GB2312" w:cs="仿宋_GB2312" w:eastAsia="仿宋_GB2312"/>
                <w:sz w:val="21"/>
              </w:rPr>
              <w:t>5</w:t>
            </w:r>
            <w:r>
              <w:rPr>
                <w:rFonts w:ascii="仿宋_GB2312" w:hAnsi="仿宋_GB2312" w:cs="仿宋_GB2312" w:eastAsia="仿宋_GB2312"/>
                <w:sz w:val="21"/>
              </w:rPr>
              <w:t>.投标人须按照技术要求完成“陕西省12393医保服务热线平台”建设，提供呼叫中心平台服务和呼叫中心话务运营服务等。</w:t>
            </w:r>
          </w:p>
          <w:p>
            <w:pPr>
              <w:pStyle w:val="null3"/>
              <w:ind w:firstLine="560"/>
            </w:pPr>
            <w:r>
              <w:rPr>
                <w:rFonts w:ascii="仿宋_GB2312" w:hAnsi="仿宋_GB2312" w:cs="仿宋_GB2312" w:eastAsia="仿宋_GB2312"/>
                <w:sz w:val="21"/>
              </w:rPr>
              <w:t>6</w:t>
            </w:r>
            <w:r>
              <w:rPr>
                <w:rFonts w:ascii="仿宋_GB2312" w:hAnsi="仿宋_GB2312" w:cs="仿宋_GB2312" w:eastAsia="仿宋_GB2312"/>
                <w:sz w:val="21"/>
              </w:rPr>
              <w:t>.投标人须提供平台建设总体技术方案、运维方案、培训方案、应急响应预案、人员管理运营方案、服务质量保障方案，需保证方案全面、具体、要素齐全、可操作性强。</w:t>
            </w:r>
          </w:p>
          <w:p>
            <w:pPr>
              <w:pStyle w:val="null3"/>
              <w:ind w:firstLine="560"/>
            </w:pPr>
            <w:r>
              <w:rPr>
                <w:rFonts w:ascii="仿宋_GB2312" w:hAnsi="仿宋_GB2312" w:cs="仿宋_GB2312" w:eastAsia="仿宋_GB2312"/>
                <w:sz w:val="21"/>
              </w:rPr>
              <w:t>7</w:t>
            </w:r>
            <w:r>
              <w:rPr>
                <w:rFonts w:ascii="仿宋_GB2312" w:hAnsi="仿宋_GB2312" w:cs="仿宋_GB2312" w:eastAsia="仿宋_GB2312"/>
                <w:sz w:val="21"/>
              </w:rPr>
              <w:t>.投标人须按</w:t>
            </w:r>
            <w:r>
              <w:rPr>
                <w:rFonts w:ascii="仿宋_GB2312" w:hAnsi="仿宋_GB2312" w:cs="仿宋_GB2312" w:eastAsia="仿宋_GB2312"/>
                <w:sz w:val="21"/>
              </w:rPr>
              <w:t>陕西省医疗保障技术服务中心</w:t>
            </w:r>
            <w:r>
              <w:rPr>
                <w:rFonts w:ascii="仿宋_GB2312" w:hAnsi="仿宋_GB2312" w:cs="仿宋_GB2312" w:eastAsia="仿宋_GB2312"/>
                <w:sz w:val="21"/>
              </w:rPr>
              <w:t>要求，建立运营、运维管理制度，严格按照运营、运维管理制度开展相关管理工作，并基于运营、运维管理制度和相关服务标准协助</w:t>
            </w:r>
            <w:r>
              <w:rPr>
                <w:rFonts w:ascii="仿宋_GB2312" w:hAnsi="仿宋_GB2312" w:cs="仿宋_GB2312" w:eastAsia="仿宋_GB2312"/>
                <w:sz w:val="21"/>
              </w:rPr>
              <w:t>陕西省医疗保障技术服务中心</w:t>
            </w:r>
            <w:r>
              <w:rPr>
                <w:rFonts w:ascii="仿宋_GB2312" w:hAnsi="仿宋_GB2312" w:cs="仿宋_GB2312" w:eastAsia="仿宋_GB2312"/>
                <w:sz w:val="21"/>
              </w:rPr>
              <w:t>建立运营、运维工作考核指标和考核方法，为</w:t>
            </w:r>
            <w:r>
              <w:rPr>
                <w:rFonts w:ascii="仿宋_GB2312" w:hAnsi="仿宋_GB2312" w:cs="仿宋_GB2312" w:eastAsia="仿宋_GB2312"/>
                <w:sz w:val="21"/>
              </w:rPr>
              <w:t>陕西省医疗保障技术服务中心</w:t>
            </w:r>
            <w:r>
              <w:rPr>
                <w:rFonts w:ascii="仿宋_GB2312" w:hAnsi="仿宋_GB2312" w:cs="仿宋_GB2312" w:eastAsia="仿宋_GB2312"/>
                <w:sz w:val="21"/>
              </w:rPr>
              <w:t>开展相关考核工作提供基础。</w:t>
            </w:r>
          </w:p>
          <w:p>
            <w:pPr>
              <w:pStyle w:val="null3"/>
              <w:ind w:firstLine="560"/>
            </w:pPr>
            <w:r>
              <w:rPr>
                <w:rFonts w:ascii="仿宋_GB2312" w:hAnsi="仿宋_GB2312" w:cs="仿宋_GB2312" w:eastAsia="仿宋_GB2312"/>
                <w:sz w:val="21"/>
              </w:rPr>
              <w:t>8</w:t>
            </w:r>
            <w:r>
              <w:rPr>
                <w:rFonts w:ascii="仿宋_GB2312" w:hAnsi="仿宋_GB2312" w:cs="仿宋_GB2312" w:eastAsia="仿宋_GB2312"/>
                <w:sz w:val="21"/>
              </w:rPr>
              <w:t>.建设运行过程中，投标人须具备根据各地各单位实际情况及时调整方案、提供服务团队的能力。</w:t>
            </w:r>
          </w:p>
          <w:p>
            <w:pPr>
              <w:pStyle w:val="null3"/>
              <w:ind w:firstLine="420"/>
              <w:jc w:val="both"/>
            </w:pPr>
            <w:r>
              <w:rPr>
                <w:rFonts w:ascii="仿宋_GB2312" w:hAnsi="仿宋_GB2312" w:cs="仿宋_GB2312" w:eastAsia="仿宋_GB2312"/>
                <w:sz w:val="21"/>
              </w:rPr>
              <w:t>投标人提供上述服务应遵循以下原则：</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1）先进性：在技术上必须具备前瞻性，根据未来技术的发展趋势，考虑整个系统的体系架构，选择先进的系统平台、基于最佳实践的应用系统设计，保证在一定时期内整个系统技术的先进性。</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2）稳定性：应具备长期高稳定性、高可靠性运行的能力；具有高吞吐量、强大处理能力及无差错传输的能力；能满足业务高峰处理的需要，能适应各种特殊情况给系统带来的压力，确保系统7×24小时不间断运行。</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3）安全性：系统应建立在成熟稳定的系统部署环境和应用软件基础上，通过完善的备份恢复策略、安全控制机制、运行管理监控和故障处理手段来保障系统的安全、稳定。</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4）可扩展性：系统应具备良好的可扩展能力，支持平滑扩容，可根据用户访问量的增加，平滑扩展系统容量；支持不改变系统架构的前提下扩展系统功能，满足今后业务发展的需要。</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5）接口开放性：系统具有良好的开放性，能够提供相关的开发接口，如CTI、报表等接口，并可根据需要开放所需要的数据及定制接口，与第三方信息系统进行对接。</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6）可管理性：系统建设时，必须考虑座席设备的日常维护、信息安全、统一管理需求，确保平台投入运营后，可完成对座席群的全面维护与统一管理。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可维护性：系统应易于维护，提供统一的维护界面并能够通过该界面对远程设备进行管理和维护：包括实时监控、远程重启等；易于分析和测试、易于发现和定位故障，并通过良好的系统设计保证故障的隔离。</w:t>
            </w:r>
          </w:p>
          <w:p>
            <w:pPr>
              <w:pStyle w:val="null3"/>
              <w:ind w:firstLine="422"/>
              <w:jc w:val="both"/>
            </w:pPr>
            <w:r>
              <w:rPr>
                <w:rFonts w:ascii="仿宋_GB2312" w:hAnsi="仿宋_GB2312" w:cs="仿宋_GB2312" w:eastAsia="仿宋_GB2312"/>
                <w:sz w:val="21"/>
                <w:b/>
              </w:rPr>
              <w:t>（三）服务内容</w:t>
            </w:r>
          </w:p>
          <w:p>
            <w:pPr>
              <w:pStyle w:val="null3"/>
              <w:ind w:firstLine="422"/>
              <w:jc w:val="both"/>
            </w:pPr>
            <w:r>
              <w:rPr>
                <w:rFonts w:ascii="仿宋_GB2312" w:hAnsi="仿宋_GB2312" w:cs="仿宋_GB2312" w:eastAsia="仿宋_GB2312"/>
                <w:sz w:val="21"/>
                <w:b/>
              </w:rPr>
              <w:t>3.1语音服务平台软件搭建</w:t>
            </w:r>
          </w:p>
          <w:p>
            <w:pPr>
              <w:pStyle w:val="null3"/>
              <w:ind w:firstLine="420"/>
              <w:jc w:val="both"/>
            </w:pPr>
            <w:r>
              <w:rPr>
                <w:rFonts w:ascii="仿宋_GB2312" w:hAnsi="仿宋_GB2312" w:cs="仿宋_GB2312" w:eastAsia="仿宋_GB2312"/>
                <w:sz w:val="21"/>
              </w:rPr>
              <w:t>通过购买服务的方式，投标人根据要求，为陕西省医疗保障技术服务中心定制开发并部署呼叫中心系统智能化升级，包括核心平台构架升级、</w:t>
            </w:r>
            <w:r>
              <w:rPr>
                <w:rFonts w:ascii="仿宋_GB2312" w:hAnsi="仿宋_GB2312" w:cs="仿宋_GB2312" w:eastAsia="仿宋_GB2312"/>
                <w:sz w:val="21"/>
              </w:rPr>
              <w:t>“5G视频”客服系统、7×24小时智能问答服务、智能座席助手、陕西省医保智能知识库等模块，以及包括部署系统所需的相关配套支撑环境服务。</w:t>
            </w:r>
          </w:p>
          <w:p>
            <w:pPr>
              <w:pStyle w:val="null3"/>
              <w:ind w:firstLine="422"/>
              <w:jc w:val="both"/>
            </w:pPr>
            <w:r>
              <w:rPr>
                <w:rFonts w:ascii="仿宋_GB2312" w:hAnsi="仿宋_GB2312" w:cs="仿宋_GB2312" w:eastAsia="仿宋_GB2312"/>
                <w:sz w:val="21"/>
                <w:b/>
              </w:rPr>
              <w:t>3.1.1核心平台构架要求</w:t>
            </w:r>
          </w:p>
          <w:p>
            <w:pPr>
              <w:pStyle w:val="null3"/>
              <w:ind w:firstLine="420"/>
              <w:jc w:val="both"/>
            </w:pPr>
            <w:r>
              <w:rPr>
                <w:rFonts w:ascii="仿宋_GB2312" w:hAnsi="仿宋_GB2312" w:cs="仿宋_GB2312" w:eastAsia="仿宋_GB2312"/>
                <w:sz w:val="21"/>
              </w:rPr>
              <w:t>具体建设内容包括：</w:t>
            </w:r>
          </w:p>
          <w:p>
            <w:pPr>
              <w:pStyle w:val="null3"/>
              <w:ind w:firstLine="420"/>
            </w:pPr>
            <w:r>
              <w:rPr>
                <w:rFonts w:ascii="仿宋_GB2312" w:hAnsi="仿宋_GB2312" w:cs="仿宋_GB2312" w:eastAsia="仿宋_GB2312"/>
                <w:sz w:val="21"/>
              </w:rPr>
              <w:t>(1)系统可提供便捷的资源扩容能力，支持各种网络融合，支持对全省现有咨询热线平台人工座席进行扩容，具备分布式处理能力，同时系统具备横向、纵向扩容能力，可实现系统平滑扩容。</w:t>
            </w:r>
          </w:p>
          <w:p>
            <w:pPr>
              <w:pStyle w:val="null3"/>
              <w:ind w:firstLine="420"/>
            </w:pPr>
            <w:r>
              <w:rPr>
                <w:rFonts w:ascii="仿宋_GB2312" w:hAnsi="仿宋_GB2312" w:cs="仿宋_GB2312" w:eastAsia="仿宋_GB2312"/>
                <w:sz w:val="21"/>
              </w:rPr>
              <w:t>(2)系统后期承载全省医保热线话务接入，通过系统接入各统筹区对外咨询服务热线号码，实现全省话务统一接入省客服中心，完成省客服中心集中平台，对多个统筹区统一管理。</w:t>
            </w:r>
          </w:p>
          <w:p>
            <w:pPr>
              <w:pStyle w:val="null3"/>
              <w:ind w:firstLine="420"/>
            </w:pPr>
            <w:r>
              <w:rPr>
                <w:rFonts w:ascii="仿宋_GB2312" w:hAnsi="仿宋_GB2312" w:cs="仿宋_GB2312" w:eastAsia="仿宋_GB2312"/>
                <w:sz w:val="21"/>
              </w:rPr>
              <w:t>(3)系统提供智能的路由分配策略，能保证用户的呼叫送到最合适的服务座席，提供最恰当的服务，并保证了路由的途径最优。</w:t>
            </w:r>
          </w:p>
          <w:p>
            <w:pPr>
              <w:pStyle w:val="null3"/>
              <w:ind w:firstLine="422"/>
              <w:jc w:val="both"/>
            </w:pPr>
            <w:r>
              <w:rPr>
                <w:rFonts w:ascii="仿宋_GB2312" w:hAnsi="仿宋_GB2312" w:cs="仿宋_GB2312" w:eastAsia="仿宋_GB2312"/>
                <w:sz w:val="21"/>
                <w:b/>
              </w:rPr>
              <w:t>3.1.2“5G视频”客服系统</w:t>
            </w:r>
          </w:p>
          <w:p>
            <w:pPr>
              <w:pStyle w:val="null3"/>
              <w:ind w:firstLine="420"/>
              <w:jc w:val="both"/>
            </w:pPr>
            <w:r>
              <w:rPr>
                <w:rFonts w:ascii="仿宋_GB2312" w:hAnsi="仿宋_GB2312" w:cs="仿宋_GB2312" w:eastAsia="仿宋_GB2312"/>
                <w:sz w:val="21"/>
              </w:rPr>
              <w:t>“5G视频”客服系统系统需满足陕西省12393医保热线服务中心座席的使用，支持实现在线进行人证信息核验方式辅助完成身份验证，在视频通话过程中，支持座席通过多种方式实现远程指导、辅助填单证件留存等业务场景。通过更多丰富易用功能辅助视频办理，如屏幕共享、截屏抓拍、同步白板、智能双录/回放等实用性功能。具体要求内容如下：</w:t>
            </w:r>
          </w:p>
          <w:p>
            <w:pPr>
              <w:pStyle w:val="null3"/>
              <w:ind w:firstLine="420"/>
            </w:pPr>
            <w:r>
              <w:rPr>
                <w:rFonts w:ascii="仿宋_GB2312" w:hAnsi="仿宋_GB2312" w:cs="仿宋_GB2312" w:eastAsia="仿宋_GB2312"/>
                <w:sz w:val="21"/>
              </w:rPr>
              <w:t>(1)支持基于5G与VoLTE接入，客户不用安装任何客户端以及关注公众号，通过拨打服务热线号码，即可一键接入，实现视频服务的接入功能。</w:t>
            </w:r>
          </w:p>
          <w:p>
            <w:pPr>
              <w:pStyle w:val="null3"/>
              <w:ind w:firstLine="420"/>
            </w:pPr>
            <w:r>
              <w:rPr>
                <w:rFonts w:ascii="仿宋_GB2312" w:hAnsi="仿宋_GB2312" w:cs="仿宋_GB2312" w:eastAsia="仿宋_GB2312"/>
                <w:sz w:val="21"/>
              </w:rPr>
              <w:t>(2)支持音视频的接入和排队，并且可以根据要求进行音视频的不同路由，支持音频和视频统一排队路由。包含智能路由、VDN路由、ACD排队、溢出排队、指定服务坐席排队、多技能和多等级等混合排队路由。</w:t>
            </w:r>
          </w:p>
          <w:p>
            <w:pPr>
              <w:pStyle w:val="null3"/>
              <w:ind w:firstLine="420"/>
            </w:pPr>
            <w:r>
              <w:rPr>
                <w:rFonts w:ascii="仿宋_GB2312" w:hAnsi="仿宋_GB2312" w:cs="仿宋_GB2312" w:eastAsia="仿宋_GB2312"/>
                <w:sz w:val="21"/>
              </w:rPr>
              <w:t>(3)支持市民通过手机终端点击“视频通话”按钮，向医保热线平台发起VOLTE视频通话呼叫，系统判断呼入业务类型，系统自动完成视频客服座席分配，视频客服座席点击业务系统来电弹屏“接听”按钮接收一对一的视频通话请求，系统自动将双方连线开启双向清晰、稳定的实时音视频通讯效果。</w:t>
            </w:r>
          </w:p>
          <w:p>
            <w:pPr>
              <w:pStyle w:val="null3"/>
              <w:ind w:firstLine="420"/>
            </w:pPr>
            <w:r>
              <w:rPr>
                <w:rFonts w:ascii="仿宋_GB2312" w:hAnsi="仿宋_GB2312" w:cs="仿宋_GB2312" w:eastAsia="仿宋_GB2312"/>
                <w:sz w:val="21"/>
              </w:rPr>
              <w:t>(4)视频客服支持视频呼入/呼出、接听/挂断、视频转呼、视频切换等功能。在已经创建一对一视频服务过程中，视频座席端认为需要邀请第三方专家加入讨论，比如需要咨询专家意见，推送邀请页面到第三方专家的手机，第三方用户点击邀请页面上的“接受”按钮，进入到同一个视频会议室。实现多方视频通话功能。</w:t>
            </w:r>
          </w:p>
          <w:p>
            <w:pPr>
              <w:pStyle w:val="null3"/>
              <w:ind w:firstLine="420"/>
            </w:pPr>
            <w:r>
              <w:rPr>
                <w:rFonts w:ascii="仿宋_GB2312" w:hAnsi="仿宋_GB2312" w:cs="仿宋_GB2312" w:eastAsia="仿宋_GB2312"/>
                <w:sz w:val="21"/>
              </w:rPr>
              <w:t>(5)在视频通话过程中，座席侧的背景可以根据场景动态定制和替换。</w:t>
            </w:r>
          </w:p>
          <w:p>
            <w:pPr>
              <w:pStyle w:val="null3"/>
              <w:ind w:firstLine="420"/>
            </w:pPr>
            <w:r>
              <w:rPr>
                <w:rFonts w:ascii="仿宋_GB2312" w:hAnsi="仿宋_GB2312" w:cs="仿宋_GB2312" w:eastAsia="仿宋_GB2312"/>
                <w:sz w:val="21"/>
              </w:rPr>
              <w:t>(6)基于业务要求，需要用户与座席在视频通话过程中，支持查看录像回放的时候，可以根据标签定位至对应画面。</w:t>
            </w:r>
          </w:p>
          <w:p>
            <w:pPr>
              <w:pStyle w:val="null3"/>
              <w:ind w:firstLine="420"/>
            </w:pPr>
            <w:r>
              <w:rPr>
                <w:rFonts w:ascii="仿宋_GB2312" w:hAnsi="仿宋_GB2312" w:cs="仿宋_GB2312" w:eastAsia="仿宋_GB2312"/>
                <w:sz w:val="21"/>
              </w:rPr>
              <w:t>(7)在座席和客户的沟通过程中，如果不想让客户听到视频声音，可以选择只看视频不听声音，即静音；如果不需要静音的话，则“取消静音”即可。</w:t>
            </w:r>
          </w:p>
          <w:p>
            <w:pPr>
              <w:pStyle w:val="null3"/>
              <w:ind w:firstLine="422"/>
              <w:jc w:val="both"/>
            </w:pPr>
            <w:r>
              <w:rPr>
                <w:rFonts w:ascii="仿宋_GB2312" w:hAnsi="仿宋_GB2312" w:cs="仿宋_GB2312" w:eastAsia="仿宋_GB2312"/>
                <w:sz w:val="21"/>
                <w:b/>
              </w:rPr>
              <w:t>3.1.3提供7×24小时智能问答服务</w:t>
            </w:r>
          </w:p>
          <w:p>
            <w:pPr>
              <w:pStyle w:val="null3"/>
              <w:ind w:firstLine="420"/>
              <w:jc w:val="both"/>
            </w:pPr>
            <w:r>
              <w:rPr>
                <w:rFonts w:ascii="仿宋_GB2312" w:hAnsi="仿宋_GB2312" w:cs="仿宋_GB2312" w:eastAsia="仿宋_GB2312"/>
                <w:sz w:val="21"/>
              </w:rPr>
              <w:t>建设热线电话渠道智能客服机器人，利用人工智能技术全方位承接参保人的问题咨询，提供</w:t>
            </w:r>
            <w:r>
              <w:rPr>
                <w:rFonts w:ascii="仿宋_GB2312" w:hAnsi="仿宋_GB2312" w:cs="仿宋_GB2312" w:eastAsia="仿宋_GB2312"/>
                <w:sz w:val="21"/>
              </w:rPr>
              <w:t>7×24小时智能问答服务。具体建设要求如下：</w:t>
            </w:r>
          </w:p>
          <w:p>
            <w:pPr>
              <w:pStyle w:val="null3"/>
              <w:ind w:firstLine="420"/>
              <w:jc w:val="both"/>
            </w:pPr>
            <w:r>
              <w:rPr>
                <w:rFonts w:ascii="仿宋_GB2312" w:hAnsi="仿宋_GB2312" w:cs="仿宋_GB2312" w:eastAsia="仿宋_GB2312"/>
                <w:sz w:val="21"/>
              </w:rPr>
              <w:t>1.结合智能知识库体系，把常见的、简单的、流程性的咨询用智能导航机器人解决，通过机器人引导式的提问，调用“医保知识库”内的信息储备来解答参保群众的异地就医、医疗报销、职工医保门诊共济等高频类问题，减轻话务压力，提升服务应答率及热线接听率。</w:t>
            </w:r>
          </w:p>
          <w:p>
            <w:pPr>
              <w:pStyle w:val="null3"/>
              <w:ind w:firstLine="422"/>
              <w:jc w:val="both"/>
            </w:pPr>
            <w:r>
              <w:rPr>
                <w:rFonts w:ascii="仿宋_GB2312" w:hAnsi="仿宋_GB2312" w:cs="仿宋_GB2312" w:eastAsia="仿宋_GB2312"/>
                <w:sz w:val="21"/>
                <w:b/>
              </w:rPr>
              <w:t>3.1.4建设智能座席助手功能</w:t>
            </w:r>
          </w:p>
          <w:p>
            <w:pPr>
              <w:pStyle w:val="null3"/>
              <w:ind w:firstLine="420"/>
              <w:jc w:val="both"/>
            </w:pPr>
            <w:r>
              <w:rPr>
                <w:rFonts w:ascii="仿宋_GB2312" w:hAnsi="仿宋_GB2312" w:cs="仿宋_GB2312" w:eastAsia="仿宋_GB2312"/>
                <w:sz w:val="21"/>
              </w:rPr>
              <w:t>智能坐席助手需满足陕西省</w:t>
            </w:r>
            <w:r>
              <w:rPr>
                <w:rFonts w:ascii="仿宋_GB2312" w:hAnsi="仿宋_GB2312" w:cs="仿宋_GB2312" w:eastAsia="仿宋_GB2312"/>
                <w:sz w:val="21"/>
              </w:rPr>
              <w:t>12393医保热线服务中心座席的使用，在人工座席受理参保人业务咨询办理的过程中，针对参保人问题智能化地向人工座席提供业务流程指引、知识推荐、工单辅助录入等。需要具备以下功能：</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通过实时语义理解客服与参保人的对话，自动识别所需的知识点，并第一时间将知识推送给客服，省去人工座席手动搜索知识的时间，同时有针对性地向参保人推送相关待遇政策和服务办理信息；会话过程中也会对监测到的服务禁语等敏感词进行实时预警。</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客户服务中心座席辅助功能，能够根据客户的静音时长、说话的声调、说话的语气词等因素，对客户的情绪进行识别，例如：急脾气、温柔型等，根据客户的情绪识别对客户进行针对性个性化的服务。知识推荐功能，是客服人员在接听电话的同时，座席辅助系统主动识别客户的进线意图，调取后台知识库，利用FAQ/知识图谱的手段，实现知识的主动推荐。</w:t>
            </w:r>
          </w:p>
          <w:p>
            <w:pPr>
              <w:pStyle w:val="null3"/>
              <w:ind w:firstLine="420"/>
              <w:jc w:val="both"/>
            </w:pPr>
            <w:r>
              <w:rPr>
                <w:rFonts w:ascii="仿宋_GB2312" w:hAnsi="仿宋_GB2312" w:cs="仿宋_GB2312" w:eastAsia="仿宋_GB2312"/>
                <w:sz w:val="21"/>
              </w:rPr>
              <w:t>(3)为呼叫中心座席人员提供智能辅助，通过语音识别将呼入电话转为文本，并进行实时匹配标准答案，便于座席人员快速获取最佳专业话术回复，提升服务效率及准确性。</w:t>
            </w:r>
          </w:p>
          <w:p>
            <w:pPr>
              <w:pStyle w:val="null3"/>
              <w:ind w:firstLine="422"/>
              <w:jc w:val="both"/>
            </w:pPr>
            <w:r>
              <w:rPr>
                <w:rFonts w:ascii="仿宋_GB2312" w:hAnsi="仿宋_GB2312" w:cs="仿宋_GB2312" w:eastAsia="仿宋_GB2312"/>
                <w:sz w:val="21"/>
                <w:b/>
              </w:rPr>
              <w:t>3.1.5构建陕西省医保智能知识库</w:t>
            </w:r>
          </w:p>
          <w:p>
            <w:pPr>
              <w:pStyle w:val="null3"/>
              <w:ind w:firstLine="420"/>
              <w:jc w:val="both"/>
            </w:pPr>
            <w:r>
              <w:rPr>
                <w:rFonts w:ascii="仿宋_GB2312" w:hAnsi="仿宋_GB2312" w:cs="仿宋_GB2312" w:eastAsia="仿宋_GB2312"/>
                <w:sz w:val="21"/>
              </w:rPr>
              <w:t>智能知识库需满足陕西省</w:t>
            </w:r>
            <w:r>
              <w:rPr>
                <w:rFonts w:ascii="仿宋_GB2312" w:hAnsi="仿宋_GB2312" w:cs="仿宋_GB2312" w:eastAsia="仿宋_GB2312"/>
                <w:sz w:val="21"/>
              </w:rPr>
              <w:t>12393医保热线服务中心座席的使用，支持提供服务指南、场景服务、医院就医流程、业务办理等信息及功能。需要具备以下功能：</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1）实现参保人只需提问，即可开启服务全流程“场景导航”，了解医保政策、直击办理环节、关联就医流程，为参保人提供全流程闭环服务体系。</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2）通过树状结构建立知识库，支持自定义标签、多级知识录入和批量导入，可通过树状结构快速查询知识库。</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4）知识库已经建立，在知识没有发布之前，知识库处于知识库暂存状态，等待知识库审核和发布。</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5）知识库的建设，按照预先设定的流程进行，包括知识库审核，具有权限的管理人员才有权限审核知识库，知识库的审核具有知识库审核通过和知识库审核未通过。</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6）对于未通过审核的知识库，返回提交人进行重新提交知识库或者取消提交知识库。</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3）实现秒级高质量的数据搜索查询，只需要输入关键字，就可以将在主题、关键字、正文等信息中出现过相关信息的表格、PPT、word、PDF中迅速搜索出来，极大地提高搜索速度。</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7）支持多种格式资料上传和检索；可以直接浏览带图片、表格和各种字体的文档正文，也可以对pdf、word、excel、ppt等格式文件做附件的文档实现类似百度文库的浏览效果。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8）支持个人账号对知识点的收藏，可以将常用的文档加入收藏夹中，在知识库浏览的主页中快捷浏览收藏夹内的文档。</w:t>
            </w:r>
          </w:p>
          <w:p>
            <w:pPr>
              <w:pStyle w:val="null3"/>
              <w:ind w:firstLine="422"/>
              <w:jc w:val="both"/>
            </w:pPr>
            <w:r>
              <w:rPr>
                <w:rFonts w:ascii="仿宋_GB2312" w:hAnsi="仿宋_GB2312" w:cs="仿宋_GB2312" w:eastAsia="仿宋_GB2312"/>
                <w:sz w:val="21"/>
                <w:b/>
              </w:rPr>
              <w:t>3.1.6 配套基础环境支撑</w:t>
            </w:r>
          </w:p>
          <w:p>
            <w:pPr>
              <w:pStyle w:val="null3"/>
              <w:ind w:firstLine="420"/>
              <w:jc w:val="both"/>
            </w:pPr>
            <w:r>
              <w:rPr>
                <w:rFonts w:ascii="仿宋_GB2312" w:hAnsi="仿宋_GB2312" w:cs="仿宋_GB2312" w:eastAsia="仿宋_GB2312"/>
                <w:sz w:val="21"/>
              </w:rPr>
              <w:t>1.提供陕西坐席职场至系统平台数据专线两条，互为主备；提供医保公共服务区至系统平台数据专线两条，互为主备；提供三网短信网关至系统平台数据专线一条，以上数据专线具备平滑升级扩展至更高带宽的能力，在交付后根据业务实际需求扩容。</w:t>
            </w:r>
          </w:p>
          <w:p>
            <w:pPr>
              <w:pStyle w:val="null3"/>
              <w:ind w:firstLine="420"/>
              <w:jc w:val="both"/>
            </w:pPr>
            <w:r>
              <w:rPr>
                <w:rFonts w:ascii="仿宋_GB2312" w:hAnsi="仿宋_GB2312" w:cs="仿宋_GB2312" w:eastAsia="仿宋_GB2312"/>
                <w:sz w:val="21"/>
              </w:rPr>
              <w:t>2.提供系统建设所需的虚拟机资源和其它相关配套资源。</w:t>
            </w:r>
          </w:p>
          <w:p>
            <w:pPr>
              <w:pStyle w:val="null3"/>
              <w:ind w:firstLine="420"/>
              <w:jc w:val="both"/>
            </w:pPr>
            <w:r>
              <w:rPr>
                <w:rFonts w:ascii="仿宋_GB2312" w:hAnsi="仿宋_GB2312" w:cs="仿宋_GB2312" w:eastAsia="仿宋_GB2312"/>
                <w:sz w:val="21"/>
              </w:rPr>
              <w:t>3.提供三网语音中继线路接入能力。</w:t>
            </w:r>
          </w:p>
          <w:p>
            <w:pPr>
              <w:pStyle w:val="null3"/>
              <w:ind w:firstLine="420"/>
              <w:jc w:val="both"/>
            </w:pPr>
            <w:r>
              <w:rPr>
                <w:rFonts w:ascii="仿宋_GB2312" w:hAnsi="仿宋_GB2312" w:cs="仿宋_GB2312" w:eastAsia="仿宋_GB2312"/>
                <w:sz w:val="21"/>
              </w:rPr>
              <w:t>4.提供短信下发能力。</w:t>
            </w:r>
          </w:p>
          <w:p>
            <w:pPr>
              <w:pStyle w:val="null3"/>
              <w:ind w:firstLine="422"/>
              <w:jc w:val="both"/>
            </w:pPr>
            <w:r>
              <w:rPr>
                <w:rFonts w:ascii="仿宋_GB2312" w:hAnsi="仿宋_GB2312" w:cs="仿宋_GB2312" w:eastAsia="仿宋_GB2312"/>
                <w:sz w:val="21"/>
                <w:b/>
              </w:rPr>
              <w:t>3.2建立服务团队</w:t>
            </w:r>
          </w:p>
          <w:p>
            <w:pPr>
              <w:pStyle w:val="null3"/>
              <w:ind w:firstLine="422"/>
              <w:jc w:val="both"/>
            </w:pPr>
            <w:r>
              <w:rPr>
                <w:rFonts w:ascii="仿宋_GB2312" w:hAnsi="仿宋_GB2312" w:cs="仿宋_GB2312" w:eastAsia="仿宋_GB2312"/>
                <w:sz w:val="21"/>
                <w:b/>
              </w:rPr>
              <w:t>3.2.1人员管理要求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通过购买服务的方式，为陕西省</w:t>
            </w:r>
            <w:r>
              <w:rPr>
                <w:rFonts w:ascii="仿宋_GB2312" w:hAnsi="仿宋_GB2312" w:cs="仿宋_GB2312" w:eastAsia="仿宋_GB2312"/>
                <w:sz w:val="21"/>
              </w:rPr>
              <w:t>12393医保热线服务中心平台组建并运行不少于20人的专职人工座席，及1名热线客服主管、1名项目负责人和不少于1名技术专家</w:t>
            </w:r>
            <w:r>
              <w:rPr>
                <w:rFonts w:ascii="仿宋_GB2312" w:hAnsi="仿宋_GB2312" w:cs="仿宋_GB2312" w:eastAsia="仿宋_GB2312"/>
                <w:sz w:val="21"/>
              </w:rPr>
              <w:t>的</w:t>
            </w:r>
            <w:r>
              <w:rPr>
                <w:rFonts w:ascii="仿宋_GB2312" w:hAnsi="仿宋_GB2312" w:cs="仿宋_GB2312" w:eastAsia="仿宋_GB2312"/>
                <w:sz w:val="21"/>
              </w:rPr>
              <w:t>呼叫服务团队。同时配合陕西省</w:t>
            </w:r>
            <w:r>
              <w:rPr>
                <w:rFonts w:ascii="仿宋_GB2312" w:hAnsi="仿宋_GB2312" w:cs="仿宋_GB2312" w:eastAsia="仿宋_GB2312"/>
                <w:sz w:val="21"/>
              </w:rPr>
              <w:t>12393医保热线服务中心更新维护知识库，开展相关人员业务培训等工作。</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投标人负责座席人员的基础培训，并制定完善的岗前、在岗培训规划，确保业务能力适应工作需要。</w:t>
            </w:r>
            <w:r>
              <w:rPr>
                <w:rFonts w:ascii="仿宋_GB2312" w:hAnsi="仿宋_GB2312" w:cs="仿宋_GB2312" w:eastAsia="仿宋_GB2312"/>
                <w:sz w:val="21"/>
              </w:rPr>
              <w:t>12393热线后台可应请求参与对接线座席人员的业务培训。</w:t>
            </w:r>
          </w:p>
          <w:p>
            <w:pPr>
              <w:pStyle w:val="null3"/>
              <w:ind w:firstLine="422"/>
              <w:jc w:val="both"/>
            </w:pPr>
            <w:r>
              <w:rPr>
                <w:rFonts w:ascii="仿宋_GB2312" w:hAnsi="仿宋_GB2312" w:cs="仿宋_GB2312" w:eastAsia="仿宋_GB2312"/>
                <w:sz w:val="21"/>
                <w:b/>
              </w:rPr>
              <w:t>3.2.2岗位人员要求如下：</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1）客服正常在岗人员不少20人，应具备大专（或以上）学历、普通话水平测试等级证书（二级乙等或以上）、平均年龄35岁以下，并设置相应的管理人员及培训人员。并提供</w:t>
            </w:r>
            <w:r>
              <w:rPr>
                <w:rFonts w:ascii="仿宋_GB2312" w:hAnsi="仿宋_GB2312" w:cs="仿宋_GB2312" w:eastAsia="仿宋_GB2312"/>
                <w:sz w:val="21"/>
              </w:rPr>
              <w:t>10个机动人员保障人工坐席。</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2）配置1名热线客服主管、1名项目负责人和不少于1名技术专家,其中主管具备5年以上的呼叫中心职场管理经验，项目负责人具备3年以上的项目管理经验，技术专家具备与本项目相关的专业技术能力。</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3）客服坐席实行365天，7*24小时服务。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4）对所有选派到本项目的工作人员进行培训考核通过后方可上岗。</w:t>
            </w:r>
          </w:p>
          <w:p>
            <w:pPr>
              <w:pStyle w:val="null3"/>
              <w:ind w:firstLine="422"/>
              <w:jc w:val="both"/>
            </w:pPr>
            <w:r>
              <w:rPr>
                <w:rFonts w:ascii="仿宋_GB2312" w:hAnsi="仿宋_GB2312" w:cs="仿宋_GB2312" w:eastAsia="仿宋_GB2312"/>
                <w:sz w:val="21"/>
                <w:b/>
              </w:rPr>
              <w:t>3.3座席职场布置</w:t>
            </w:r>
          </w:p>
          <w:p>
            <w:pPr>
              <w:pStyle w:val="null3"/>
              <w:ind w:firstLine="420"/>
              <w:jc w:val="both"/>
            </w:pPr>
            <w:r>
              <w:rPr>
                <w:rFonts w:ascii="仿宋_GB2312" w:hAnsi="仿宋_GB2312" w:cs="仿宋_GB2312" w:eastAsia="仿宋_GB2312"/>
                <w:sz w:val="21"/>
              </w:rPr>
              <w:t>此项目使用的呼叫中心场地及配套设施，须由投标人提供，具体需求如下：</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1）投标人提供职场内座席需配备专业的座席软硬件设备包括座席卡座及座椅、电脑终端、电话接口和专业耳机等。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语音服务职场场地应包括呼叫中心、会议室、培训室、休息室、更衣室、食堂等，并按照招标人要求进行设计和装修，统一风格，悬挂明显标识，人员统一着装。根据陕西省医疗保障技术服务中心要求，进行职场的软装工作。</w:t>
            </w:r>
          </w:p>
          <w:p>
            <w:pPr>
              <w:pStyle w:val="null3"/>
              <w:ind w:firstLine="422"/>
              <w:jc w:val="both"/>
            </w:pPr>
            <w:r>
              <w:rPr>
                <w:rFonts w:ascii="仿宋_GB2312" w:hAnsi="仿宋_GB2312" w:cs="仿宋_GB2312" w:eastAsia="仿宋_GB2312"/>
                <w:sz w:val="21"/>
                <w:b/>
              </w:rPr>
              <w:t>3.4 12393短号码落地工作</w:t>
            </w:r>
          </w:p>
          <w:p>
            <w:pPr>
              <w:pStyle w:val="null3"/>
              <w:ind w:firstLine="420"/>
              <w:jc w:val="both"/>
            </w:pPr>
            <w:r>
              <w:rPr>
                <w:rFonts w:ascii="仿宋_GB2312" w:hAnsi="仿宋_GB2312" w:cs="仿宋_GB2312" w:eastAsia="仿宋_GB2312"/>
                <w:sz w:val="21"/>
              </w:rPr>
              <w:t>12393号码落地服务方面：需提供12393号码落地至系统平台的全流程服务，包括协同通信管理局、通信运营商等全部工作。完成12393号码落地开通工作，包括：申请移动、联通、电信等运营商的语音中继资源，保证高峰期资源占用不超过80%，若话务量上升，及时提供扩容服务；提供号码落地的机房，并负责相关落地工作提供机房及设备并完成集成工作；完成本市呼叫业务的开通等工作。</w:t>
            </w:r>
          </w:p>
          <w:p>
            <w:pPr>
              <w:pStyle w:val="null3"/>
              <w:ind w:firstLine="422"/>
              <w:jc w:val="both"/>
            </w:pPr>
            <w:r>
              <w:rPr>
                <w:rFonts w:ascii="仿宋_GB2312" w:hAnsi="仿宋_GB2312" w:cs="仿宋_GB2312" w:eastAsia="仿宋_GB2312"/>
                <w:sz w:val="21"/>
                <w:b/>
              </w:rPr>
              <w:t>3.5需求清单及性能要求</w:t>
            </w:r>
          </w:p>
          <w:p>
            <w:pPr>
              <w:pStyle w:val="null3"/>
              <w:ind w:firstLine="422"/>
              <w:jc w:val="both"/>
            </w:pPr>
            <w:r>
              <w:rPr>
                <w:rFonts w:ascii="仿宋_GB2312" w:hAnsi="仿宋_GB2312" w:cs="仿宋_GB2312" w:eastAsia="仿宋_GB2312"/>
                <w:sz w:val="21"/>
                <w:b/>
              </w:rPr>
              <w:t>“语音服务平台软件”系统需求</w:t>
            </w:r>
          </w:p>
          <w:p>
            <w:pPr>
              <w:pStyle w:val="null3"/>
              <w:ind w:firstLine="420"/>
              <w:jc w:val="both"/>
            </w:pPr>
            <w:r>
              <w:rPr>
                <w:rFonts w:ascii="仿宋_GB2312" w:hAnsi="仿宋_GB2312" w:cs="仿宋_GB2312" w:eastAsia="仿宋_GB2312"/>
                <w:sz w:val="21"/>
              </w:rPr>
              <w:t>系统需要具备与其它话务平台系统接口对接的能力，满足与政府</w:t>
            </w:r>
            <w:r>
              <w:rPr>
                <w:rFonts w:ascii="仿宋_GB2312" w:hAnsi="仿宋_GB2312" w:cs="仿宋_GB2312" w:eastAsia="仿宋_GB2312"/>
                <w:sz w:val="21"/>
              </w:rPr>
              <w:t>12345热线平台的对接。</w:t>
            </w:r>
          </w:p>
          <w:p>
            <w:pPr>
              <w:pStyle w:val="null3"/>
              <w:ind w:firstLine="420"/>
              <w:jc w:val="both"/>
            </w:pPr>
            <w:r>
              <w:rPr>
                <w:rFonts w:ascii="仿宋_GB2312" w:hAnsi="仿宋_GB2312" w:cs="仿宋_GB2312" w:eastAsia="仿宋_GB2312"/>
                <w:sz w:val="21"/>
              </w:rPr>
              <w:t>包含：</w:t>
            </w:r>
            <w:r>
              <w:rPr>
                <w:rFonts w:ascii="仿宋_GB2312" w:hAnsi="仿宋_GB2312" w:cs="仿宋_GB2312" w:eastAsia="仿宋_GB2312"/>
                <w:sz w:val="21"/>
              </w:rPr>
              <w:t>核心平台构架升级、</w:t>
            </w:r>
            <w:r>
              <w:rPr>
                <w:rFonts w:ascii="仿宋_GB2312" w:hAnsi="仿宋_GB2312" w:cs="仿宋_GB2312" w:eastAsia="仿宋_GB2312"/>
                <w:sz w:val="21"/>
              </w:rPr>
              <w:t>“5G视频”客服系统、7×24小时智能问答服务、智能座席助手、陕西省医保智能知识库</w:t>
            </w:r>
            <w:r>
              <w:rPr>
                <w:rFonts w:ascii="仿宋_GB2312" w:hAnsi="仿宋_GB2312" w:cs="仿宋_GB2312" w:eastAsia="仿宋_GB2312"/>
                <w:sz w:val="21"/>
              </w:rPr>
              <w:t>模块</w:t>
            </w:r>
            <w:r>
              <w:rPr>
                <w:rFonts w:ascii="仿宋_GB2312" w:hAnsi="仿宋_GB2312" w:cs="仿宋_GB2312" w:eastAsia="仿宋_GB2312"/>
                <w:sz w:val="21"/>
              </w:rPr>
              <w:t>。需求列表如下：</w:t>
            </w:r>
          </w:p>
          <w:tbl>
            <w:tblPr>
              <w:tblBorders>
                <w:top w:val="none" w:color="000000" w:sz="4"/>
                <w:left w:val="none" w:color="000000" w:sz="4"/>
                <w:bottom w:val="none" w:color="000000" w:sz="4"/>
                <w:right w:val="none" w:color="000000" w:sz="4"/>
                <w:insideH w:val="none"/>
                <w:insideV w:val="none"/>
              </w:tblBorders>
            </w:tblPr>
            <w:tblGrid>
              <w:gridCol w:w="396"/>
              <w:gridCol w:w="922"/>
              <w:gridCol w:w="1141"/>
            </w:tblGrid>
            <w:tr>
              <w:tc>
                <w:tcPr>
                  <w:tcW w:type="dxa" w:w="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功能类别</w:t>
                  </w:r>
                </w:p>
              </w:tc>
              <w:tc>
                <w:tcPr>
                  <w:tcW w:type="dxa" w:w="9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二级功能</w:t>
                  </w:r>
                </w:p>
              </w:tc>
              <w:tc>
                <w:tcPr>
                  <w:tcW w:type="dxa" w:w="11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功能点列表</w:t>
                  </w:r>
                </w:p>
              </w:tc>
            </w:tr>
            <w:tr>
              <w:tc>
                <w:tcPr>
                  <w:tcW w:type="dxa" w:w="3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5G视频客服</w:t>
                  </w:r>
                </w:p>
              </w:tc>
              <w:tc>
                <w:tcPr>
                  <w:tcW w:type="dxa" w:w="9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IVVR导航</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用视频方式向客户提供</w:t>
                  </w:r>
                  <w:r>
                    <w:rPr>
                      <w:rFonts w:ascii="仿宋_GB2312" w:hAnsi="仿宋_GB2312" w:cs="仿宋_GB2312" w:eastAsia="仿宋_GB2312"/>
                      <w:sz w:val="21"/>
                      <w:color w:val="000000"/>
                    </w:rPr>
                    <w:t>IVR导航</w:t>
                  </w:r>
                </w:p>
              </w:tc>
            </w:tr>
            <w:tr>
              <w:tc>
                <w:tcPr>
                  <w:tcW w:type="dxa" w:w="396"/>
                  <w:vMerge/>
                  <w:tcBorders>
                    <w:top w:val="none" w:color="000000" w:sz="4"/>
                    <w:left w:val="singl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视频上传分享</w:t>
                  </w:r>
                </w:p>
              </w:tc>
            </w:tr>
            <w:tr>
              <w:tc>
                <w:tcPr>
                  <w:tcW w:type="dxa" w:w="396"/>
                  <w:vMerge/>
                  <w:tcBorders>
                    <w:top w:val="none" w:color="000000" w:sz="4"/>
                    <w:left w:val="single" w:color="000000" w:sz="4"/>
                    <w:bottom w:val="single" w:color="000000" w:sz="4"/>
                    <w:right w:val="single" w:color="000000" w:sz="4"/>
                  </w:tcBorders>
                </w:tcP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视频交流</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面对面服务</w:t>
                  </w:r>
                </w:p>
              </w:tc>
            </w:tr>
            <w:tr>
              <w:tc>
                <w:tcPr>
                  <w:tcW w:type="dxa" w:w="396"/>
                  <w:vMerge/>
                  <w:tcBorders>
                    <w:top w:val="none" w:color="000000" w:sz="4"/>
                    <w:left w:val="single" w:color="000000" w:sz="4"/>
                    <w:bottom w:val="single" w:color="000000" w:sz="4"/>
                    <w:right w:val="single" w:color="000000" w:sz="4"/>
                  </w:tcBorders>
                </w:tcP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虚拟背景</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背景切换</w:t>
                  </w:r>
                </w:p>
              </w:tc>
            </w:tr>
            <w:tr>
              <w:tc>
                <w:tcPr>
                  <w:tcW w:type="dxa" w:w="396"/>
                  <w:vMerge/>
                  <w:tcBorders>
                    <w:top w:val="none" w:color="000000" w:sz="4"/>
                    <w:left w:val="single" w:color="000000" w:sz="4"/>
                    <w:bottom w:val="single" w:color="000000" w:sz="4"/>
                    <w:right w:val="single" w:color="000000" w:sz="4"/>
                  </w:tcBorders>
                </w:tcP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音视频切换</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音视频切换</w:t>
                  </w:r>
                </w:p>
              </w:tc>
            </w:tr>
            <w:tr>
              <w:tc>
                <w:tcPr>
                  <w:tcW w:type="dxa" w:w="396"/>
                  <w:vMerge/>
                  <w:tcBorders>
                    <w:top w:val="none" w:color="000000" w:sz="4"/>
                    <w:left w:val="single" w:color="000000" w:sz="4"/>
                    <w:bottom w:val="single" w:color="000000" w:sz="4"/>
                    <w:right w:val="single" w:color="000000" w:sz="4"/>
                  </w:tcBorders>
                </w:tcP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共享屏幕</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信息推送</w:t>
                  </w:r>
                </w:p>
              </w:tc>
            </w:tr>
            <w:tr>
              <w:tc>
                <w:tcPr>
                  <w:tcW w:type="dxa" w:w="396"/>
                  <w:vMerge/>
                  <w:tcBorders>
                    <w:top w:val="none" w:color="000000" w:sz="4"/>
                    <w:left w:val="single" w:color="000000" w:sz="4"/>
                    <w:bottom w:val="single" w:color="000000" w:sz="4"/>
                    <w:right w:val="single" w:color="000000" w:sz="4"/>
                  </w:tcBorders>
                </w:tcP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视频录像</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视频记录</w:t>
                  </w:r>
                </w:p>
              </w:tc>
            </w:tr>
            <w:tr>
              <w:tc>
                <w:tcPr>
                  <w:tcW w:type="dxa" w:w="396"/>
                  <w:vMerge/>
                  <w:tcBorders>
                    <w:top w:val="none" w:color="000000" w:sz="4"/>
                    <w:left w:val="single" w:color="000000" w:sz="4"/>
                    <w:bottom w:val="single" w:color="000000" w:sz="4"/>
                    <w:right w:val="single" w:color="000000" w:sz="4"/>
                  </w:tcBorders>
                </w:tcP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视频静音</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只看视频不听声音</w:t>
                  </w:r>
                </w:p>
              </w:tc>
            </w:tr>
            <w:tr>
              <w:tc>
                <w:tcPr>
                  <w:tcW w:type="dxa" w:w="3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智能化应用</w:t>
                  </w:r>
                </w:p>
              </w:tc>
              <w:tc>
                <w:tcPr>
                  <w:tcW w:type="dxa" w:w="922"/>
                  <w:vMerge w:val="restart"/>
                  <w:tcBorders>
                    <w:top w:val="none" w:color="000000" w:sz="4"/>
                    <w:left w:val="none" w:color="000000" w:sz="4"/>
                    <w:bottom w:val="single" w:color="000000" w:sz="2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智能化支撑</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智能语音识别（</w:t>
                  </w:r>
                  <w:r>
                    <w:rPr>
                      <w:rFonts w:ascii="仿宋_GB2312" w:hAnsi="仿宋_GB2312" w:cs="仿宋_GB2312" w:eastAsia="仿宋_GB2312"/>
                      <w:sz w:val="21"/>
                      <w:color w:val="000000"/>
                    </w:rPr>
                    <w:t>ASR）</w:t>
                  </w:r>
                </w:p>
              </w:tc>
            </w:tr>
            <w:tr>
              <w:tc>
                <w:tcPr>
                  <w:tcW w:type="dxa" w:w="396"/>
                  <w:vMerge/>
                  <w:tcBorders>
                    <w:top w:val="none" w:color="000000" w:sz="4"/>
                    <w:left w:val="single" w:color="000000" w:sz="4"/>
                    <w:bottom w:val="single" w:color="000000" w:sz="4"/>
                    <w:right w:val="single" w:color="000000" w:sz="4"/>
                  </w:tcBorders>
                </w:tcPr>
                <w:p/>
              </w:tc>
              <w:tc>
                <w:tcPr>
                  <w:tcW w:type="dxa" w:w="922"/>
                  <w:vMerge/>
                  <w:tcBorders>
                    <w:top w:val="none" w:color="000000" w:sz="4"/>
                    <w:left w:val="none" w:color="000000" w:sz="4"/>
                    <w:bottom w:val="single" w:color="000000" w:sz="28"/>
                    <w:right w:val="single" w:color="000000" w:sz="4"/>
                  </w:tcBorders>
                </w:tcP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语音合成（</w:t>
                  </w:r>
                  <w:r>
                    <w:rPr>
                      <w:rFonts w:ascii="仿宋_GB2312" w:hAnsi="仿宋_GB2312" w:cs="仿宋_GB2312" w:eastAsia="仿宋_GB2312"/>
                      <w:sz w:val="21"/>
                      <w:color w:val="000000"/>
                    </w:rPr>
                    <w:t>TTS）</w:t>
                  </w:r>
                </w:p>
              </w:tc>
            </w:tr>
            <w:tr>
              <w:tc>
                <w:tcPr>
                  <w:tcW w:type="dxa" w:w="396"/>
                  <w:vMerge/>
                  <w:tcBorders>
                    <w:top w:val="none" w:color="000000" w:sz="4"/>
                    <w:left w:val="single" w:color="000000" w:sz="4"/>
                    <w:bottom w:val="single" w:color="000000" w:sz="4"/>
                    <w:right w:val="single" w:color="000000" w:sz="4"/>
                  </w:tcBorders>
                </w:tcPr>
                <w:p/>
              </w:tc>
              <w:tc>
                <w:tcPr>
                  <w:tcW w:type="dxa" w:w="922"/>
                  <w:vMerge/>
                  <w:tcBorders>
                    <w:top w:val="none" w:color="000000" w:sz="4"/>
                    <w:left w:val="none" w:color="000000" w:sz="4"/>
                    <w:bottom w:val="single" w:color="000000" w:sz="28"/>
                    <w:right w:val="single" w:color="000000" w:sz="4"/>
                  </w:tcBorders>
                </w:tcP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自然语言处理（</w:t>
                  </w:r>
                  <w:r>
                    <w:rPr>
                      <w:rFonts w:ascii="仿宋_GB2312" w:hAnsi="仿宋_GB2312" w:cs="仿宋_GB2312" w:eastAsia="仿宋_GB2312"/>
                      <w:sz w:val="21"/>
                      <w:color w:val="000000"/>
                    </w:rPr>
                    <w:t>NLP）</w:t>
                  </w:r>
                </w:p>
              </w:tc>
            </w:tr>
            <w:tr>
              <w:tc>
                <w:tcPr>
                  <w:tcW w:type="dxa" w:w="396"/>
                  <w:vMerge/>
                  <w:tcBorders>
                    <w:top w:val="none" w:color="000000" w:sz="4"/>
                    <w:left w:val="single" w:color="000000" w:sz="4"/>
                    <w:bottom w:val="single" w:color="000000" w:sz="4"/>
                    <w:right w:val="single" w:color="000000" w:sz="4"/>
                  </w:tcBorders>
                </w:tcPr>
                <w:p/>
              </w:tc>
              <w:tc>
                <w:tcPr>
                  <w:tcW w:type="dxa" w:w="922"/>
                  <w:vMerge/>
                  <w:tcBorders>
                    <w:top w:val="none" w:color="000000" w:sz="4"/>
                    <w:left w:val="none" w:color="000000" w:sz="4"/>
                    <w:bottom w:val="single" w:color="000000" w:sz="28"/>
                    <w:right w:val="single" w:color="000000" w:sz="4"/>
                  </w:tcBorders>
                </w:tcP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上下文理解</w:t>
                  </w:r>
                </w:p>
              </w:tc>
            </w:tr>
            <w:tr>
              <w:tc>
                <w:tcPr>
                  <w:tcW w:type="dxa" w:w="396"/>
                  <w:vMerge/>
                  <w:tcBorders>
                    <w:top w:val="none" w:color="000000" w:sz="4"/>
                    <w:left w:val="single" w:color="000000" w:sz="4"/>
                    <w:bottom w:val="single" w:color="000000" w:sz="4"/>
                    <w:right w:val="single" w:color="000000" w:sz="4"/>
                  </w:tcBorders>
                </w:tcPr>
                <w:p/>
              </w:tc>
              <w:tc>
                <w:tcPr>
                  <w:tcW w:type="dxa" w:w="922"/>
                  <w:vMerge/>
                  <w:tcBorders>
                    <w:top w:val="none" w:color="000000" w:sz="4"/>
                    <w:left w:val="none" w:color="000000" w:sz="4"/>
                    <w:bottom w:val="single" w:color="000000" w:sz="28"/>
                    <w:right w:val="single" w:color="000000" w:sz="4"/>
                  </w:tcBorders>
                </w:tcP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多轮对话</w:t>
                  </w:r>
                </w:p>
              </w:tc>
            </w:tr>
            <w:tr>
              <w:tc>
                <w:tcPr>
                  <w:tcW w:type="dxa" w:w="396"/>
                  <w:vMerge/>
                  <w:tcBorders>
                    <w:top w:val="none" w:color="000000" w:sz="4"/>
                    <w:left w:val="single" w:color="000000" w:sz="4"/>
                    <w:bottom w:val="single" w:color="000000" w:sz="4"/>
                    <w:right w:val="single" w:color="000000" w:sz="4"/>
                  </w:tcBorders>
                </w:tcPr>
                <w:p/>
              </w:tc>
              <w:tc>
                <w:tcPr>
                  <w:tcW w:type="dxa" w:w="922"/>
                  <w:vMerge/>
                  <w:tcBorders>
                    <w:top w:val="none" w:color="000000" w:sz="4"/>
                    <w:left w:val="none" w:color="000000" w:sz="4"/>
                    <w:bottom w:val="single" w:color="000000" w:sz="28"/>
                    <w:right w:val="single" w:color="000000" w:sz="4"/>
                  </w:tcBorders>
                </w:tcP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内容检索</w:t>
                  </w:r>
                </w:p>
              </w:tc>
            </w:tr>
            <w:tr>
              <w:tc>
                <w:tcPr>
                  <w:tcW w:type="dxa" w:w="396"/>
                  <w:vMerge/>
                  <w:tcBorders>
                    <w:top w:val="none" w:color="000000" w:sz="4"/>
                    <w:left w:val="single" w:color="000000" w:sz="4"/>
                    <w:bottom w:val="single" w:color="000000" w:sz="4"/>
                    <w:right w:val="single" w:color="000000" w:sz="4"/>
                  </w:tcBorders>
                </w:tcPr>
                <w:p/>
              </w:tc>
              <w:tc>
                <w:tcPr>
                  <w:tcW w:type="dxa" w:w="922"/>
                  <w:vMerge/>
                  <w:tcBorders>
                    <w:top w:val="none" w:color="000000" w:sz="4"/>
                    <w:left w:val="none" w:color="000000" w:sz="4"/>
                    <w:bottom w:val="single" w:color="000000" w:sz="28"/>
                    <w:right w:val="single" w:color="000000" w:sz="4"/>
                  </w:tcBorders>
                </w:tcP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情绪分析</w:t>
                  </w:r>
                </w:p>
              </w:tc>
            </w:tr>
            <w:tr>
              <w:tc>
                <w:tcPr>
                  <w:tcW w:type="dxa" w:w="396"/>
                  <w:vMerge/>
                  <w:tcBorders>
                    <w:top w:val="none" w:color="000000" w:sz="4"/>
                    <w:left w:val="single" w:color="000000" w:sz="4"/>
                    <w:bottom w:val="single" w:color="000000" w:sz="4"/>
                    <w:right w:val="single" w:color="000000" w:sz="4"/>
                  </w:tcBorders>
                </w:tcPr>
                <w:p/>
              </w:tc>
              <w:tc>
                <w:tcPr>
                  <w:tcW w:type="dxa" w:w="922"/>
                  <w:vMerge/>
                  <w:tcBorders>
                    <w:top w:val="none" w:color="000000" w:sz="4"/>
                    <w:left w:val="none" w:color="000000" w:sz="4"/>
                    <w:bottom w:val="single" w:color="000000" w:sz="28"/>
                    <w:right w:val="single" w:color="000000" w:sz="4"/>
                  </w:tcBorders>
                </w:tcP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语速分析</w:t>
                  </w:r>
                </w:p>
              </w:tc>
            </w:tr>
            <w:tr>
              <w:tc>
                <w:tcPr>
                  <w:tcW w:type="dxa" w:w="396"/>
                  <w:vMerge/>
                  <w:tcBorders>
                    <w:top w:val="none" w:color="000000" w:sz="4"/>
                    <w:left w:val="single" w:color="000000" w:sz="4"/>
                    <w:bottom w:val="single" w:color="000000" w:sz="4"/>
                    <w:right w:val="single" w:color="000000" w:sz="4"/>
                  </w:tcBorders>
                </w:tcPr>
                <w:p/>
              </w:tc>
              <w:tc>
                <w:tcPr>
                  <w:tcW w:type="dxa" w:w="922"/>
                  <w:vMerge/>
                  <w:tcBorders>
                    <w:top w:val="none" w:color="000000" w:sz="4"/>
                    <w:left w:val="none" w:color="000000" w:sz="4"/>
                    <w:bottom w:val="single" w:color="000000" w:sz="28"/>
                    <w:right w:val="single" w:color="000000" w:sz="4"/>
                  </w:tcBorders>
                </w:tcP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静音分析</w:t>
                  </w:r>
                </w:p>
              </w:tc>
            </w:tr>
            <w:tr>
              <w:tc>
                <w:tcPr>
                  <w:tcW w:type="dxa" w:w="396"/>
                  <w:vMerge/>
                  <w:tcBorders>
                    <w:top w:val="none" w:color="000000" w:sz="4"/>
                    <w:left w:val="single" w:color="000000" w:sz="4"/>
                    <w:bottom w:val="single" w:color="000000" w:sz="4"/>
                    <w:right w:val="single" w:color="000000" w:sz="4"/>
                  </w:tcBorders>
                </w:tcPr>
                <w:p/>
              </w:tc>
              <w:tc>
                <w:tcPr>
                  <w:tcW w:type="dxa" w:w="9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智能坐席助手</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知识推荐</w:t>
                  </w:r>
                </w:p>
              </w:tc>
            </w:tr>
            <w:tr>
              <w:tc>
                <w:tcPr>
                  <w:tcW w:type="dxa" w:w="396"/>
                  <w:vMerge/>
                  <w:tcBorders>
                    <w:top w:val="none" w:color="000000" w:sz="4"/>
                    <w:left w:val="singl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语音识别转写</w:t>
                  </w:r>
                </w:p>
              </w:tc>
            </w:tr>
            <w:tr>
              <w:tc>
                <w:tcPr>
                  <w:tcW w:type="dxa" w:w="396"/>
                  <w:vMerge/>
                  <w:tcBorders>
                    <w:top w:val="none" w:color="000000" w:sz="4"/>
                    <w:left w:val="singl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智能辅助</w:t>
                  </w:r>
                </w:p>
              </w:tc>
            </w:tr>
            <w:tr>
              <w:tc>
                <w:tcPr>
                  <w:tcW w:type="dxa" w:w="396"/>
                  <w:vMerge/>
                  <w:tcBorders>
                    <w:top w:val="none" w:color="000000" w:sz="4"/>
                    <w:left w:val="single" w:color="000000" w:sz="4"/>
                    <w:bottom w:val="single" w:color="000000" w:sz="4"/>
                    <w:right w:val="single" w:color="000000" w:sz="4"/>
                  </w:tcBorders>
                </w:tcPr>
                <w:p/>
              </w:tc>
              <w:tc>
                <w:tcPr>
                  <w:tcW w:type="dxa" w:w="9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智能应答</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精准回答</w:t>
                  </w:r>
                </w:p>
              </w:tc>
            </w:tr>
            <w:tr>
              <w:tc>
                <w:tcPr>
                  <w:tcW w:type="dxa" w:w="396"/>
                  <w:vMerge/>
                  <w:tcBorders>
                    <w:top w:val="none" w:color="000000" w:sz="4"/>
                    <w:left w:val="singl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智能推荐</w:t>
                  </w:r>
                </w:p>
              </w:tc>
            </w:tr>
            <w:tr>
              <w:tc>
                <w:tcPr>
                  <w:tcW w:type="dxa" w:w="396"/>
                  <w:vMerge/>
                  <w:tcBorders>
                    <w:top w:val="none" w:color="000000" w:sz="4"/>
                    <w:left w:val="singl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愉快聊天</w:t>
                  </w:r>
                </w:p>
              </w:tc>
            </w:tr>
            <w:tr>
              <w:tc>
                <w:tcPr>
                  <w:tcW w:type="dxa" w:w="3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智能知识库管理</w:t>
                  </w:r>
                </w:p>
              </w:tc>
              <w:tc>
                <w:tcPr>
                  <w:tcW w:type="dxa" w:w="206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多级知识录入</w:t>
                  </w:r>
                </w:p>
              </w:tc>
            </w:tr>
            <w:tr>
              <w:tc>
                <w:tcPr>
                  <w:tcW w:type="dxa" w:w="396"/>
                  <w:vMerge/>
                  <w:tcBorders>
                    <w:top w:val="none" w:color="000000" w:sz="4"/>
                    <w:left w:val="single" w:color="000000" w:sz="4"/>
                    <w:bottom w:val="single" w:color="000000" w:sz="4"/>
                    <w:right w:val="single" w:color="000000" w:sz="4"/>
                  </w:tcBorders>
                </w:tcPr>
                <w:p/>
              </w:tc>
              <w:tc>
                <w:tcPr>
                  <w:tcW w:type="dxa" w:w="206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多级知识审核</w:t>
                  </w:r>
                </w:p>
              </w:tc>
            </w:tr>
            <w:tr>
              <w:tc>
                <w:tcPr>
                  <w:tcW w:type="dxa" w:w="396"/>
                  <w:vMerge/>
                  <w:tcBorders>
                    <w:top w:val="none" w:color="000000" w:sz="4"/>
                    <w:left w:val="single" w:color="000000" w:sz="4"/>
                    <w:bottom w:val="single" w:color="000000" w:sz="4"/>
                    <w:right w:val="single" w:color="000000" w:sz="4"/>
                  </w:tcBorders>
                </w:tcPr>
                <w:p/>
              </w:tc>
              <w:tc>
                <w:tcPr>
                  <w:tcW w:type="dxa" w:w="206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多级知识发布</w:t>
                  </w:r>
                </w:p>
              </w:tc>
            </w:tr>
            <w:tr>
              <w:tc>
                <w:tcPr>
                  <w:tcW w:type="dxa" w:w="396"/>
                  <w:vMerge/>
                  <w:tcBorders>
                    <w:top w:val="none" w:color="000000" w:sz="4"/>
                    <w:left w:val="single" w:color="000000" w:sz="4"/>
                    <w:bottom w:val="single" w:color="000000" w:sz="4"/>
                    <w:right w:val="single" w:color="000000" w:sz="4"/>
                  </w:tcBorders>
                </w:tcPr>
                <w:p/>
              </w:tc>
              <w:tc>
                <w:tcPr>
                  <w:tcW w:type="dxa" w:w="206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知识模糊查询和匹配</w:t>
                  </w:r>
                </w:p>
              </w:tc>
            </w:tr>
            <w:tr>
              <w:tc>
                <w:tcPr>
                  <w:tcW w:type="dxa" w:w="396"/>
                  <w:vMerge/>
                  <w:tcBorders>
                    <w:top w:val="none" w:color="000000" w:sz="4"/>
                    <w:left w:val="single" w:color="000000" w:sz="4"/>
                    <w:bottom w:val="single" w:color="000000" w:sz="4"/>
                    <w:right w:val="single" w:color="000000" w:sz="4"/>
                  </w:tcBorders>
                </w:tcPr>
                <w:p/>
              </w:tc>
              <w:tc>
                <w:tcPr>
                  <w:tcW w:type="dxa" w:w="206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多级分类管理</w:t>
                  </w:r>
                </w:p>
              </w:tc>
            </w:tr>
            <w:tr>
              <w:tc>
                <w:tcPr>
                  <w:tcW w:type="dxa" w:w="396"/>
                  <w:vMerge/>
                  <w:tcBorders>
                    <w:top w:val="none" w:color="000000" w:sz="4"/>
                    <w:left w:val="single" w:color="000000" w:sz="4"/>
                    <w:bottom w:val="single" w:color="000000" w:sz="4"/>
                    <w:right w:val="single" w:color="000000" w:sz="4"/>
                  </w:tcBorders>
                </w:tcPr>
                <w:p/>
              </w:tc>
              <w:tc>
                <w:tcPr>
                  <w:tcW w:type="dxa" w:w="206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批量导入</w:t>
                  </w:r>
                </w:p>
              </w:tc>
            </w:tr>
            <w:tr>
              <w:tc>
                <w:tcPr>
                  <w:tcW w:type="dxa" w:w="396"/>
                  <w:vMerge/>
                  <w:tcBorders>
                    <w:top w:val="none" w:color="000000" w:sz="4"/>
                    <w:left w:val="single" w:color="000000" w:sz="4"/>
                    <w:bottom w:val="single" w:color="000000" w:sz="4"/>
                    <w:right w:val="single" w:color="000000" w:sz="4"/>
                  </w:tcBorders>
                </w:tcPr>
                <w:p/>
              </w:tc>
              <w:tc>
                <w:tcPr>
                  <w:tcW w:type="dxa" w:w="206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知识点的收藏</w:t>
                  </w:r>
                </w:p>
              </w:tc>
            </w:tr>
            <w:tr>
              <w:tc>
                <w:tcPr>
                  <w:tcW w:type="dxa" w:w="396"/>
                  <w:vMerge/>
                  <w:tcBorders>
                    <w:top w:val="none" w:color="000000" w:sz="4"/>
                    <w:left w:val="single" w:color="000000" w:sz="4"/>
                    <w:bottom w:val="single" w:color="000000" w:sz="4"/>
                    <w:right w:val="single" w:color="000000" w:sz="4"/>
                  </w:tcBorders>
                </w:tcPr>
                <w:p/>
              </w:tc>
              <w:tc>
                <w:tcPr>
                  <w:tcW w:type="dxa" w:w="206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自定义标签</w:t>
                  </w:r>
                </w:p>
              </w:tc>
            </w:tr>
          </w:tbl>
          <w:p>
            <w:pPr>
              <w:pStyle w:val="null3"/>
              <w:ind w:firstLine="420"/>
              <w:jc w:val="both"/>
            </w:pPr>
            <w:r>
              <w:rPr>
                <w:rFonts w:ascii="仿宋_GB2312" w:hAnsi="仿宋_GB2312" w:cs="仿宋_GB2312" w:eastAsia="仿宋_GB2312"/>
                <w:sz w:val="21"/>
                <w:b/>
              </w:rPr>
              <w:t>3.</w:t>
            </w:r>
            <w:r>
              <w:rPr>
                <w:rFonts w:ascii="仿宋_GB2312" w:hAnsi="仿宋_GB2312" w:cs="仿宋_GB2312" w:eastAsia="仿宋_GB2312"/>
                <w:sz w:val="21"/>
                <w:b/>
              </w:rPr>
              <w:t>5.2性能要求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系统要求</w:t>
            </w:r>
            <w:r>
              <w:rPr>
                <w:rFonts w:ascii="仿宋_GB2312" w:hAnsi="仿宋_GB2312" w:cs="仿宋_GB2312" w:eastAsia="仿宋_GB2312"/>
                <w:sz w:val="21"/>
              </w:rPr>
              <w:t>：</w:t>
            </w:r>
            <w:r>
              <w:rPr>
                <w:rFonts w:ascii="仿宋_GB2312" w:hAnsi="仿宋_GB2312" w:cs="仿宋_GB2312" w:eastAsia="仿宋_GB2312"/>
                <w:sz w:val="21"/>
              </w:rPr>
              <w:t>支持兼容信创资源部署，设计软件要求拥有自主知识产权。</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音视频编解码功能要求</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音视频编解码能力</w:t>
            </w:r>
          </w:p>
          <w:p>
            <w:pPr>
              <w:pStyle w:val="null3"/>
              <w:ind w:firstLine="420"/>
              <w:jc w:val="both"/>
            </w:pPr>
            <w:r>
              <w:rPr>
                <w:rFonts w:ascii="仿宋_GB2312" w:hAnsi="仿宋_GB2312" w:cs="仿宋_GB2312" w:eastAsia="仿宋_GB2312"/>
                <w:sz w:val="21"/>
              </w:rPr>
              <w:t>接入媒体编解码</w:t>
            </w:r>
          </w:p>
          <w:p>
            <w:pPr>
              <w:pStyle w:val="null3"/>
              <w:ind w:firstLine="420"/>
              <w:jc w:val="both"/>
            </w:pPr>
            <w:r>
              <w:rPr>
                <w:rFonts w:ascii="仿宋_GB2312" w:hAnsi="仿宋_GB2312" w:cs="仿宋_GB2312" w:eastAsia="仿宋_GB2312"/>
                <w:sz w:val="21"/>
              </w:rPr>
              <w:t>音频编解码</w:t>
            </w:r>
          </w:p>
          <w:p>
            <w:pPr>
              <w:pStyle w:val="null3"/>
              <w:ind w:firstLine="420"/>
              <w:jc w:val="both"/>
            </w:pPr>
            <w:r>
              <w:rPr>
                <w:rFonts w:ascii="仿宋_GB2312" w:hAnsi="仿宋_GB2312" w:cs="仿宋_GB2312" w:eastAsia="仿宋_GB2312"/>
                <w:sz w:val="21"/>
              </w:rPr>
              <w:t>支持</w:t>
            </w:r>
            <w:r>
              <w:rPr>
                <w:rFonts w:ascii="仿宋_GB2312" w:hAnsi="仿宋_GB2312" w:cs="仿宋_GB2312" w:eastAsia="仿宋_GB2312"/>
                <w:sz w:val="21"/>
              </w:rPr>
              <w:t>OKI24k、OKI32k、wav等格式的语音文件，支持G.711、G.729、AMR-NB、iLBC等编解码。</w:t>
            </w:r>
          </w:p>
          <w:p>
            <w:pPr>
              <w:pStyle w:val="null3"/>
              <w:ind w:firstLine="420"/>
              <w:jc w:val="both"/>
            </w:pPr>
            <w:r>
              <w:rPr>
                <w:rFonts w:ascii="仿宋_GB2312" w:hAnsi="仿宋_GB2312" w:cs="仿宋_GB2312" w:eastAsia="仿宋_GB2312"/>
                <w:sz w:val="21"/>
              </w:rPr>
              <w:t>支持</w:t>
            </w:r>
            <w:r>
              <w:rPr>
                <w:rFonts w:ascii="仿宋_GB2312" w:hAnsi="仿宋_GB2312" w:cs="仿宋_GB2312" w:eastAsia="仿宋_GB2312"/>
                <w:sz w:val="21"/>
              </w:rPr>
              <w:t>RFC2833带外传递号码</w:t>
            </w:r>
          </w:p>
          <w:p>
            <w:pPr>
              <w:pStyle w:val="null3"/>
              <w:ind w:firstLine="420"/>
              <w:jc w:val="both"/>
            </w:pPr>
            <w:r>
              <w:rPr>
                <w:rFonts w:ascii="仿宋_GB2312" w:hAnsi="仿宋_GB2312" w:cs="仿宋_GB2312" w:eastAsia="仿宋_GB2312"/>
                <w:sz w:val="21"/>
              </w:rPr>
              <w:t>支持</w:t>
            </w:r>
            <w:r>
              <w:rPr>
                <w:rFonts w:ascii="仿宋_GB2312" w:hAnsi="仿宋_GB2312" w:cs="仿宋_GB2312" w:eastAsia="仿宋_GB2312"/>
                <w:sz w:val="21"/>
              </w:rPr>
              <w:t>RFC2198冗余传输</w:t>
            </w:r>
          </w:p>
          <w:p>
            <w:pPr>
              <w:pStyle w:val="null3"/>
              <w:ind w:firstLine="420"/>
              <w:jc w:val="both"/>
            </w:pPr>
            <w:r>
              <w:rPr>
                <w:rFonts w:ascii="仿宋_GB2312" w:hAnsi="仿宋_GB2312" w:cs="仿宋_GB2312" w:eastAsia="仿宋_GB2312"/>
                <w:sz w:val="21"/>
              </w:rPr>
              <w:t>支持静音压缩</w:t>
            </w:r>
          </w:p>
          <w:p>
            <w:pPr>
              <w:pStyle w:val="null3"/>
              <w:ind w:firstLine="420"/>
              <w:jc w:val="both"/>
            </w:pPr>
            <w:r>
              <w:rPr>
                <w:rFonts w:ascii="仿宋_GB2312" w:hAnsi="仿宋_GB2312" w:cs="仿宋_GB2312" w:eastAsia="仿宋_GB2312"/>
                <w:sz w:val="21"/>
              </w:rPr>
              <w:t>支持丢包补偿、动态</w:t>
            </w:r>
            <w:r>
              <w:rPr>
                <w:rFonts w:ascii="仿宋_GB2312" w:hAnsi="仿宋_GB2312" w:cs="仿宋_GB2312" w:eastAsia="仿宋_GB2312"/>
                <w:sz w:val="21"/>
              </w:rPr>
              <w:t>JitterBuffer等语音质量增强</w:t>
            </w:r>
          </w:p>
          <w:p>
            <w:pPr>
              <w:pStyle w:val="null3"/>
              <w:ind w:firstLine="420"/>
              <w:jc w:val="both"/>
            </w:pPr>
            <w:r>
              <w:rPr>
                <w:rFonts w:ascii="仿宋_GB2312" w:hAnsi="仿宋_GB2312" w:cs="仿宋_GB2312" w:eastAsia="仿宋_GB2312"/>
                <w:sz w:val="21"/>
              </w:rPr>
              <w:t>高清音频编解码</w:t>
            </w:r>
          </w:p>
          <w:p>
            <w:pPr>
              <w:pStyle w:val="null3"/>
              <w:ind w:firstLine="420"/>
              <w:jc w:val="both"/>
            </w:pPr>
            <w:r>
              <w:rPr>
                <w:rFonts w:ascii="仿宋_GB2312" w:hAnsi="仿宋_GB2312" w:cs="仿宋_GB2312" w:eastAsia="仿宋_GB2312"/>
                <w:sz w:val="21"/>
              </w:rPr>
              <w:t>支持</w:t>
            </w:r>
            <w:r>
              <w:rPr>
                <w:rFonts w:ascii="仿宋_GB2312" w:hAnsi="仿宋_GB2312" w:cs="仿宋_GB2312" w:eastAsia="仿宋_GB2312"/>
                <w:sz w:val="21"/>
              </w:rPr>
              <w:t>AMR-WB编解码</w:t>
            </w:r>
          </w:p>
          <w:p>
            <w:pPr>
              <w:pStyle w:val="null3"/>
              <w:ind w:firstLine="420"/>
              <w:jc w:val="both"/>
            </w:pPr>
            <w:r>
              <w:rPr>
                <w:rFonts w:ascii="仿宋_GB2312" w:hAnsi="仿宋_GB2312" w:cs="仿宋_GB2312" w:eastAsia="仿宋_GB2312"/>
                <w:sz w:val="21"/>
              </w:rPr>
              <w:t>支持视频编解码</w:t>
            </w:r>
            <w:r>
              <w:rPr>
                <w:rFonts w:ascii="仿宋_GB2312" w:hAnsi="仿宋_GB2312" w:cs="仿宋_GB2312" w:eastAsia="仿宋_GB2312"/>
                <w:sz w:val="21"/>
              </w:rPr>
              <w:t>H.264/265，文件格式3GP，图像格式不低于480P、720P</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语音识别及语音合成（</w:t>
            </w:r>
            <w:r>
              <w:rPr>
                <w:rFonts w:ascii="仿宋_GB2312" w:hAnsi="仿宋_GB2312" w:cs="仿宋_GB2312" w:eastAsia="仿宋_GB2312"/>
                <w:sz w:val="21"/>
              </w:rPr>
              <w:t>ASR、TTS）指标要求</w:t>
            </w:r>
          </w:p>
          <w:p>
            <w:pPr>
              <w:pStyle w:val="null3"/>
              <w:ind w:firstLine="420"/>
              <w:jc w:val="both"/>
            </w:pPr>
            <w:r>
              <w:rPr>
                <w:rFonts w:ascii="仿宋_GB2312" w:hAnsi="仿宋_GB2312" w:cs="仿宋_GB2312" w:eastAsia="仿宋_GB2312"/>
                <w:sz w:val="21"/>
              </w:rPr>
              <w:t>支持实时语音转文字功能、录音文件转文字功能、一句话语音转文字功能，支持话者分离、坐席及用户情感分析、静音检测、语速检测等功能。</w:t>
            </w:r>
          </w:p>
          <w:p>
            <w:pPr>
              <w:pStyle w:val="null3"/>
              <w:ind w:firstLine="420"/>
              <w:jc w:val="both"/>
            </w:pPr>
            <w:r>
              <w:rPr>
                <w:rFonts w:ascii="仿宋_GB2312" w:hAnsi="仿宋_GB2312" w:cs="仿宋_GB2312" w:eastAsia="仿宋_GB2312"/>
                <w:sz w:val="21"/>
              </w:rPr>
              <w:t>提供数字串听写功能，提取车牌、日期、电话、数字、钱、地址、姓名等信息。</w:t>
            </w:r>
          </w:p>
          <w:p>
            <w:pPr>
              <w:pStyle w:val="null3"/>
              <w:ind w:firstLine="420"/>
              <w:jc w:val="both"/>
            </w:pPr>
            <w:r>
              <w:rPr>
                <w:rFonts w:ascii="仿宋_GB2312" w:hAnsi="仿宋_GB2312" w:cs="仿宋_GB2312" w:eastAsia="仿宋_GB2312"/>
                <w:sz w:val="21"/>
              </w:rPr>
              <w:t>支持数字串自动规整功能，可以准确识别日期、金额、单号等阿拉伯数字。</w:t>
            </w:r>
          </w:p>
          <w:p>
            <w:pPr>
              <w:pStyle w:val="null3"/>
              <w:ind w:firstLine="420"/>
              <w:jc w:val="both"/>
            </w:pPr>
            <w:r>
              <w:rPr>
                <w:rFonts w:ascii="仿宋_GB2312" w:hAnsi="仿宋_GB2312" w:cs="仿宋_GB2312" w:eastAsia="仿宋_GB2312"/>
                <w:sz w:val="21"/>
              </w:rPr>
              <w:t>提供端点检测功能，用户语音的起始点、结束点检测，支持前后端点配置修改并会话级生效。</w:t>
            </w:r>
          </w:p>
          <w:p>
            <w:pPr>
              <w:pStyle w:val="null3"/>
              <w:ind w:firstLine="420"/>
              <w:jc w:val="both"/>
            </w:pPr>
            <w:r>
              <w:rPr>
                <w:rFonts w:ascii="仿宋_GB2312" w:hAnsi="仿宋_GB2312" w:cs="仿宋_GB2312" w:eastAsia="仿宋_GB2312"/>
                <w:sz w:val="21"/>
              </w:rPr>
              <w:t>支持软件噪声消除功能，满足噪音环境下的语音输入需求。</w:t>
            </w:r>
          </w:p>
          <w:p>
            <w:pPr>
              <w:pStyle w:val="null3"/>
              <w:ind w:firstLine="420"/>
              <w:jc w:val="both"/>
            </w:pPr>
            <w:r>
              <w:rPr>
                <w:rFonts w:ascii="仿宋_GB2312" w:hAnsi="仿宋_GB2312" w:cs="仿宋_GB2312" w:eastAsia="仿宋_GB2312"/>
                <w:sz w:val="21"/>
              </w:rPr>
              <w:t>支持提前在系统中录入人名、地名专业词汇等专有名词，经过系统训练优化后有效提升该词的录入准确率。</w:t>
            </w:r>
          </w:p>
          <w:p>
            <w:pPr>
              <w:pStyle w:val="null3"/>
              <w:ind w:firstLine="420"/>
              <w:jc w:val="both"/>
            </w:pPr>
            <w:r>
              <w:rPr>
                <w:rFonts w:ascii="仿宋_GB2312" w:hAnsi="仿宋_GB2312" w:cs="仿宋_GB2312" w:eastAsia="仿宋_GB2312"/>
                <w:sz w:val="21"/>
              </w:rPr>
              <w:t>支持列表敏感词和常用词替换，将识别结果中的某些指定文字替换成列表中映射的文字。</w:t>
            </w:r>
          </w:p>
          <w:p>
            <w:pPr>
              <w:pStyle w:val="null3"/>
              <w:ind w:firstLine="420"/>
              <w:jc w:val="both"/>
            </w:pPr>
            <w:r>
              <w:rPr>
                <w:rFonts w:ascii="仿宋_GB2312" w:hAnsi="仿宋_GB2312" w:cs="仿宋_GB2312" w:eastAsia="仿宋_GB2312"/>
                <w:sz w:val="21"/>
              </w:rPr>
              <w:t>中文普通话场景下，语音识别准确率应不低于</w:t>
            </w:r>
            <w:r>
              <w:rPr>
                <w:rFonts w:ascii="仿宋_GB2312" w:hAnsi="仿宋_GB2312" w:cs="仿宋_GB2312" w:eastAsia="仿宋_GB2312"/>
                <w:sz w:val="21"/>
              </w:rPr>
              <w:t>85%。</w:t>
            </w:r>
          </w:p>
          <w:p>
            <w:pPr>
              <w:pStyle w:val="null3"/>
              <w:ind w:firstLine="420"/>
              <w:jc w:val="both"/>
            </w:pPr>
            <w:r>
              <w:rPr>
                <w:rFonts w:ascii="仿宋_GB2312" w:hAnsi="仿宋_GB2312" w:cs="仿宋_GB2312" w:eastAsia="仿宋_GB2312"/>
                <w:sz w:val="21"/>
              </w:rPr>
              <w:t>支持实时展示词级别识别结果。</w:t>
            </w:r>
          </w:p>
          <w:p>
            <w:pPr>
              <w:pStyle w:val="null3"/>
              <w:ind w:firstLine="420"/>
              <w:jc w:val="both"/>
            </w:pPr>
            <w:r>
              <w:rPr>
                <w:rFonts w:ascii="仿宋_GB2312" w:hAnsi="仿宋_GB2312" w:cs="仿宋_GB2312" w:eastAsia="仿宋_GB2312"/>
                <w:sz w:val="21"/>
              </w:rPr>
              <w:t>支持客户方自助语音语料识别率训练。</w:t>
            </w:r>
          </w:p>
          <w:p>
            <w:pPr>
              <w:pStyle w:val="null3"/>
              <w:ind w:firstLine="420"/>
              <w:jc w:val="both"/>
            </w:pPr>
            <w:r>
              <w:rPr>
                <w:rFonts w:ascii="仿宋_GB2312" w:hAnsi="仿宋_GB2312" w:cs="仿宋_GB2312" w:eastAsia="仿宋_GB2312"/>
                <w:sz w:val="21"/>
              </w:rPr>
              <w:t>支持实时语音转写、一句话转写及录音文件转写两种模式。</w:t>
            </w:r>
          </w:p>
          <w:p>
            <w:pPr>
              <w:pStyle w:val="null3"/>
              <w:ind w:firstLine="420"/>
              <w:jc w:val="both"/>
            </w:pPr>
            <w:r>
              <w:rPr>
                <w:rFonts w:ascii="仿宋_GB2312" w:hAnsi="仿宋_GB2312" w:cs="仿宋_GB2312" w:eastAsia="仿宋_GB2312"/>
                <w:sz w:val="21"/>
              </w:rPr>
              <w:t>TTS转写支持多种声音模型，支持自动合成及真人配音功能。</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自然语义理解能力（</w:t>
            </w:r>
            <w:r>
              <w:rPr>
                <w:rFonts w:ascii="仿宋_GB2312" w:hAnsi="仿宋_GB2312" w:cs="仿宋_GB2312" w:eastAsia="仿宋_GB2312"/>
                <w:sz w:val="21"/>
              </w:rPr>
              <w:t>NLP）指标要求</w:t>
            </w:r>
          </w:p>
          <w:p>
            <w:pPr>
              <w:pStyle w:val="null3"/>
              <w:ind w:firstLine="420"/>
              <w:jc w:val="both"/>
            </w:pPr>
            <w:r>
              <w:rPr>
                <w:rFonts w:ascii="仿宋_GB2312" w:hAnsi="仿宋_GB2312" w:cs="仿宋_GB2312" w:eastAsia="仿宋_GB2312"/>
                <w:sz w:val="21"/>
              </w:rPr>
              <w:t>句法语义分析：通过句法、词性、词语关联性等分析句法重点，通过核心算法逻辑计算句子相似度，正确理解句子通用语义信息，更精准地进行问题匹配；</w:t>
            </w:r>
          </w:p>
          <w:p>
            <w:pPr>
              <w:pStyle w:val="null3"/>
              <w:ind w:firstLine="420"/>
              <w:jc w:val="both"/>
            </w:pPr>
            <w:r>
              <w:rPr>
                <w:rFonts w:ascii="仿宋_GB2312" w:hAnsi="仿宋_GB2312" w:cs="仿宋_GB2312" w:eastAsia="仿宋_GB2312"/>
                <w:sz w:val="21"/>
              </w:rPr>
              <w:t>关键词抽取：从用户问句中识别关键词。</w:t>
            </w:r>
          </w:p>
          <w:p>
            <w:pPr>
              <w:pStyle w:val="null3"/>
              <w:ind w:firstLine="420"/>
              <w:jc w:val="both"/>
            </w:pPr>
            <w:r>
              <w:rPr>
                <w:rFonts w:ascii="仿宋_GB2312" w:hAnsi="仿宋_GB2312" w:cs="仿宋_GB2312" w:eastAsia="仿宋_GB2312"/>
                <w:sz w:val="21"/>
              </w:rPr>
              <w:t>情感分类：使用机器学习技术，判别用户表达中的情感极性。</w:t>
            </w:r>
          </w:p>
          <w:p>
            <w:pPr>
              <w:pStyle w:val="null3"/>
              <w:ind w:firstLine="420"/>
              <w:jc w:val="both"/>
            </w:pPr>
            <w:r>
              <w:rPr>
                <w:rFonts w:ascii="仿宋_GB2312" w:hAnsi="仿宋_GB2312" w:cs="仿宋_GB2312" w:eastAsia="仿宋_GB2312"/>
                <w:sz w:val="21"/>
              </w:rPr>
              <w:t>自然语言理解：使用机器学习技术，自动挖掘用户表达中的有效信息。</w:t>
            </w:r>
          </w:p>
          <w:p>
            <w:pPr>
              <w:pStyle w:val="null3"/>
              <w:ind w:firstLine="420"/>
              <w:jc w:val="both"/>
            </w:pPr>
            <w:r>
              <w:rPr>
                <w:rFonts w:ascii="仿宋_GB2312" w:hAnsi="仿宋_GB2312" w:cs="仿宋_GB2312" w:eastAsia="仿宋_GB2312"/>
                <w:sz w:val="21"/>
              </w:rPr>
              <w:t>自然语言处理基础的技术：分词与词性标注、新词发现技术、命名实体识别、寒暄问答、上下文关联识别、动态知识载入、多意图识别、意图推荐等技术</w:t>
            </w:r>
          </w:p>
          <w:p>
            <w:pPr>
              <w:pStyle w:val="null3"/>
              <w:ind w:firstLine="420"/>
              <w:jc w:val="both"/>
            </w:pPr>
            <w:r>
              <w:rPr>
                <w:rFonts w:ascii="仿宋_GB2312" w:hAnsi="仿宋_GB2312" w:cs="仿宋_GB2312" w:eastAsia="仿宋_GB2312"/>
                <w:sz w:val="21"/>
              </w:rPr>
              <w:t>相似问题生成：基于深度学习技术，自动生成与机器人知识库中问句相似的句子，自动扩充机器人知识库中的问句。</w:t>
            </w:r>
          </w:p>
          <w:p>
            <w:pPr>
              <w:pStyle w:val="null3"/>
              <w:ind w:firstLine="420"/>
              <w:jc w:val="both"/>
            </w:pPr>
            <w:r>
              <w:rPr>
                <w:rFonts w:ascii="仿宋_GB2312" w:hAnsi="仿宋_GB2312" w:cs="仿宋_GB2312" w:eastAsia="仿宋_GB2312"/>
                <w:sz w:val="21"/>
              </w:rPr>
              <w:t>文本相似度计算：使用深度学习技术，计算用户问句与机器人知识库中问句的相似度。</w:t>
            </w:r>
          </w:p>
          <w:p>
            <w:pPr>
              <w:pStyle w:val="null3"/>
              <w:ind w:firstLine="422"/>
              <w:jc w:val="both"/>
            </w:pPr>
            <w:r>
              <w:rPr>
                <w:rFonts w:ascii="仿宋_GB2312" w:hAnsi="仿宋_GB2312" w:cs="仿宋_GB2312" w:eastAsia="仿宋_GB2312"/>
                <w:sz w:val="21"/>
                <w:b/>
              </w:rPr>
              <w:t>3.6集成、培训和运营需求</w:t>
            </w:r>
          </w:p>
          <w:p>
            <w:pPr>
              <w:pStyle w:val="null3"/>
              <w:ind w:firstLine="420"/>
              <w:jc w:val="both"/>
            </w:pPr>
            <w:r>
              <w:rPr>
                <w:rFonts w:ascii="仿宋_GB2312" w:hAnsi="仿宋_GB2312" w:cs="仿宋_GB2312" w:eastAsia="仿宋_GB2312"/>
                <w:sz w:val="21"/>
              </w:rPr>
              <w:t>投标人应按要求向陕西省</w:t>
            </w:r>
            <w:r>
              <w:rPr>
                <w:rFonts w:ascii="仿宋_GB2312" w:hAnsi="仿宋_GB2312" w:cs="仿宋_GB2312" w:eastAsia="仿宋_GB2312"/>
                <w:sz w:val="21"/>
              </w:rPr>
              <w:t>12393医保热线服务中心提供系统集成建设、运维等服务，并按照陕西省12393医保热线服务中心要求提供对不同团队、不同岗位的培训，包括但不限于以下工作：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1）系统建设。按照陕西省12393医保热线服务中心相关技术文档要求，完成陕西省12393医保热线平台运行环境搭建、设备安装调试、系统联调，软件研发及部署，并提供相关运维服务。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业务培训。针对专职人工座席呼叫服务团队，开展智能化系统使用培训，内容包括“陕西省12393医保热线平台”概况、智能系统基本任务、智能系统基本功能、智能系统应用、智能知识库的使用等多个环节的全方位系统使用培训。</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运维人员保障。在运维服务期内，建立专项运行维护团队，在座席职场和设备机房开展日常维护、系统调整、故障处置、现场技术支撑等服务:设置职场专属运维岗位，同时在岗不少于1人，提供7×24小时监控话务系统平台运行状态、现场工作环境维护、系统升级、知识库维护和系统故障处置，配合陕西省12393医保热线服务中心完成其他指定工作，国家重大会议、重大活动等期间，提供加强运维保障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安全保密服务。建立安全保密制度，针对相关人员开展保密教育和管理、监督，杜绝陕西省12393医保热线服务中心业务数据和用户个人信息泄露等安全事件；投标人提供相应的网络安全防护措施，满足国家网络安全等级保护要求。服务风险控制制度建设及实施情况，数据异地灾备等不能因安全问题出现业务数据泄露、服务中断、数据丢失等问题，必须保障7×24不间断无故障运行。</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陕西省医疗保障技术服务中心指定地点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由陕西省医疗保障技术服务中心统一组织，采购人与相关人员组成验收小组完成验收。双方根据最终验收情况，编写最终验收报告。中标人应完成项目验收资料的准备。 在服务过程中出现性能指标或功能上不符合标书和合同要求时，由中标人负责解决，采购人有拒绝验收的权利并保留索赔权利。 本项目的实施过程中将产生大量的技术及管理文档，中标人应协助采购人，负责建立、维护、交接项目实施过程中产生的各类文档，确保项目文档的内容体现本项目的实施过程，并确保项目文档的完整性和准确性。</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服务期满9个月未发生重大事故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服务期满10个月未发生重大事故并出具后续服务期的履约承诺书，经甲方确认合格后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结合项目实际特在此处进行说明：本项目合同履行期限：一年（服务起止时间按采购人实际要求），若因国家或省委省政府工作安排变化，将根据有关政策或要求缩短服务期限，提前终止合同。费用按照实际服务情况进项支付。 2、招标文件要求签字或盖章之处，非法人单位均参照执行。 3、中标单位领取中标通知书时，提交纸质投标文件正本壹份、副本贰份、电子版壹份（U盘壹份注明单位名称）编辑目录和页码，内容和通过电子化交易平台实施的政府采购项目提交的投标文件一致。 纸质投标文件正副本分别胶装。 4、保证金的退还：自中标通知书发出之日起5个工作日内退还未中标人的投标保证金,自采购合同签订之日起5个工作日内退还中标人的投标保证金。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4.投标人资格证明文件.docx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4.投标人资格证明文件.docx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4.投标人资格证明文件.docx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4.投标人资格证明文件.docx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4.投标人资格证明文件.docx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8月至今已缴纳至少三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4.投标人资格证明文件.docx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提供2024年8月至今已缴存的至少三个月的社会保障资金缴存单据或社保机构开具的社会保险参保缴费情况证明，依法不需要缴纳社会保障资金的单位应提供相关证明材料。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4.投标人资格证明文件.docx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4.投标人资格证明文件.docx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4.投标人资格证明文件.docx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4.投标人资格证明文件.docx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有可能影响项目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7.保证金交纳凭证保函.docx 2.服务内容及服务要求应答表.docx 中小企业声明函 3.商务条款响应说明.docx 投标函 4.投标人资格证明文件.docx 残疾人福利性单位声明函 6.投标人承诺书.docx 5.投标方案说明.docx 标的清单 投标文件封面 1.分项报价表.docx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开标一览表 7.保证金交纳凭证保函.docx 2.服务内容及服务要求应答表.docx 中小企业声明函 3.商务条款响应说明.docx 投标函 4.投标人资格证明文件.docx 残疾人福利性单位声明函 6.投标人承诺书.docx 5.投标方案说明.docx 标的清单 投标文件封面 1.分项报价表.docx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7.保证金交纳凭证保函.docx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3.商务条款响应说明.docx 2.服务内容及服务要求应答表.docx 投标函 4.投标人资格证明文件.docx 5.投标方案说明.docx 标的清单 1.分项报价表.docx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总体技术响应</w:t>
            </w:r>
          </w:p>
        </w:tc>
        <w:tc>
          <w:tcPr>
            <w:tcW w:type="dxa" w:w="2492"/>
          </w:tcPr>
          <w:p>
            <w:pPr>
              <w:pStyle w:val="null3"/>
            </w:pPr>
            <w:r>
              <w:rPr>
                <w:rFonts w:ascii="仿宋_GB2312" w:hAnsi="仿宋_GB2312" w:cs="仿宋_GB2312" w:eastAsia="仿宋_GB2312"/>
              </w:rPr>
              <w:t>逐条响应并满足技术参数要求文件中全部技术指标及服务内容要求的计满分25分；负偏离每项扣0.5分，扣完为止。（注：偏离情况除偏离表响应外还需尽可能多的提供相应的参数证明文件，文件包括但不限于：证明投标的合格性和符合招标文件规定的技术文件）</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5.投标方案说明.docx</w:t>
            </w:r>
          </w:p>
        </w:tc>
      </w:tr>
      <w:tr>
        <w:tc>
          <w:tcPr>
            <w:tcW w:type="dxa" w:w="831"/>
            <w:vMerge/>
          </w:tcPr>
          <w:p/>
        </w:tc>
        <w:tc>
          <w:tcPr>
            <w:tcW w:type="dxa" w:w="1661"/>
          </w:tcPr>
          <w:p>
            <w:pPr>
              <w:pStyle w:val="null3"/>
            </w:pPr>
            <w:r>
              <w:rPr>
                <w:rFonts w:ascii="仿宋_GB2312" w:hAnsi="仿宋_GB2312" w:cs="仿宋_GB2312" w:eastAsia="仿宋_GB2312"/>
              </w:rPr>
              <w:t>服务团队组建方案</w:t>
            </w:r>
          </w:p>
        </w:tc>
        <w:tc>
          <w:tcPr>
            <w:tcW w:type="dxa" w:w="2492"/>
          </w:tcPr>
          <w:p>
            <w:pPr>
              <w:pStyle w:val="null3"/>
            </w:pPr>
            <w:r>
              <w:rPr>
                <w:rFonts w:ascii="仿宋_GB2312" w:hAnsi="仿宋_GB2312" w:cs="仿宋_GB2312" w:eastAsia="仿宋_GB2312"/>
              </w:rPr>
              <w:t>投标人根据项目特点及智能客服服务技术要求制定服务团队组建方案。根据方案的科学合理性、条理性、可行性进行评审。 1、方案完全满足需求，无瑕疵计5分； 2、方案存在1处瑕疵计4分； 3、方案存在2处瑕疵计3分； 4、方案存在3处瑕疵计2分； 5、方案存在4处瑕疵计1分； 5、方案存在5处及以上瑕疵或未提供方案计0分。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5.投标方案说明.docx</w:t>
            </w:r>
          </w:p>
        </w:tc>
      </w:tr>
      <w:tr>
        <w:tc>
          <w:tcPr>
            <w:tcW w:type="dxa" w:w="831"/>
            <w:vMerge/>
          </w:tcPr>
          <w:p/>
        </w:tc>
        <w:tc>
          <w:tcPr>
            <w:tcW w:type="dxa" w:w="1661"/>
          </w:tcPr>
          <w:p>
            <w:pPr>
              <w:pStyle w:val="null3"/>
            </w:pPr>
            <w:r>
              <w:rPr>
                <w:rFonts w:ascii="仿宋_GB2312" w:hAnsi="仿宋_GB2312" w:cs="仿宋_GB2312" w:eastAsia="仿宋_GB2312"/>
              </w:rPr>
              <w:t>座席职场布置方案</w:t>
            </w:r>
          </w:p>
        </w:tc>
        <w:tc>
          <w:tcPr>
            <w:tcW w:type="dxa" w:w="2492"/>
          </w:tcPr>
          <w:p>
            <w:pPr>
              <w:pStyle w:val="null3"/>
            </w:pPr>
            <w:r>
              <w:rPr>
                <w:rFonts w:ascii="仿宋_GB2312" w:hAnsi="仿宋_GB2312" w:cs="仿宋_GB2312" w:eastAsia="仿宋_GB2312"/>
              </w:rPr>
              <w:t>投标人根据项目特点及智能客服服务技术要求制定座席职场布置方案。根据方案的科学合理性、条理性、可行性进行评审。 1、方案完全满足需求，无瑕疵计6分； 2、方案存在1处瑕疵计5分； 3、方案存在2处瑕疵计4分； 4、方案存在3处瑕疵计3分； 5、方案存在4处瑕疵计2分； 6、方案存在5处瑕疵计1分； 7、方案存在6处及以上瑕疵或未提供方案计0分。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5.投标方案说明.docx</w:t>
            </w:r>
          </w:p>
        </w:tc>
      </w:tr>
      <w:tr>
        <w:tc>
          <w:tcPr>
            <w:tcW w:type="dxa" w:w="831"/>
            <w:vMerge/>
          </w:tcPr>
          <w:p/>
        </w:tc>
        <w:tc>
          <w:tcPr>
            <w:tcW w:type="dxa" w:w="1661"/>
          </w:tcPr>
          <w:p>
            <w:pPr>
              <w:pStyle w:val="null3"/>
            </w:pPr>
            <w:r>
              <w:rPr>
                <w:rFonts w:ascii="仿宋_GB2312" w:hAnsi="仿宋_GB2312" w:cs="仿宋_GB2312" w:eastAsia="仿宋_GB2312"/>
              </w:rPr>
              <w:t>12393短号码落地方案</w:t>
            </w:r>
          </w:p>
        </w:tc>
        <w:tc>
          <w:tcPr>
            <w:tcW w:type="dxa" w:w="2492"/>
          </w:tcPr>
          <w:p>
            <w:pPr>
              <w:pStyle w:val="null3"/>
            </w:pPr>
            <w:r>
              <w:rPr>
                <w:rFonts w:ascii="仿宋_GB2312" w:hAnsi="仿宋_GB2312" w:cs="仿宋_GB2312" w:eastAsia="仿宋_GB2312"/>
              </w:rPr>
              <w:t>投标人根据项目特点及智能客服服务技术要求制定12393短号码落地方案。根据方案的科学合理性、条理性、可行性进行评审。 1、方案完全满足需求，无瑕疵计6分； 2、方案存在1处瑕疵计5分； 3、方案存在2处瑕疵计4分； 4、方案存在3处瑕疵计3分； 5、方案存在4处瑕疵计2分； 6、方案存在5处瑕疵计1分； 7、方案存在6处及以上瑕疵或未提供方案计0分。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5.投标方案说明.docx</w:t>
            </w:r>
          </w:p>
        </w:tc>
      </w:tr>
      <w:tr>
        <w:tc>
          <w:tcPr>
            <w:tcW w:type="dxa" w:w="831"/>
            <w:vMerge/>
          </w:tcPr>
          <w:p/>
        </w:tc>
        <w:tc>
          <w:tcPr>
            <w:tcW w:type="dxa" w:w="1661"/>
          </w:tcPr>
          <w:p>
            <w:pPr>
              <w:pStyle w:val="null3"/>
            </w:pPr>
            <w:r>
              <w:rPr>
                <w:rFonts w:ascii="仿宋_GB2312" w:hAnsi="仿宋_GB2312" w:cs="仿宋_GB2312" w:eastAsia="仿宋_GB2312"/>
              </w:rPr>
              <w:t>呼叫中心集成运营服务方案</w:t>
            </w:r>
          </w:p>
        </w:tc>
        <w:tc>
          <w:tcPr>
            <w:tcW w:type="dxa" w:w="2492"/>
          </w:tcPr>
          <w:p>
            <w:pPr>
              <w:pStyle w:val="null3"/>
            </w:pPr>
            <w:r>
              <w:rPr>
                <w:rFonts w:ascii="仿宋_GB2312" w:hAnsi="仿宋_GB2312" w:cs="仿宋_GB2312" w:eastAsia="仿宋_GB2312"/>
              </w:rPr>
              <w:t>投标人根据项目特点及智能客服服务技术要求制定呼叫中心集成运营服务方案。根据方案的科学合理性、条理性、可行性进行评审。 1、方案完全满足需求，无瑕疵计5分； 2、方案存在1处瑕疵计4分； 3、方案存在2处瑕疵计3分； 4、方案存在3处瑕疵计2分； 5、方案存在4处瑕疵计1分； 6、方案存在5处及以上瑕疵或未提供方案计0分。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供培训方案，为采购人培训操作维护人员，以保障使用过程中能熟练操作、维护和正常使用，培训方案包含但不限于培训内容、培训方式以及培训计划安排等方面。根据方案的科学合理性、条理性、可行性进行评审。 1、方案完全满足需求，无瑕疵计5分； 2、方案存在1处瑕疵计4分； 3、方案存在2处瑕疵计3分； 4、方案存在3处瑕疵计2分； 5、方案存在4处瑕疵计1分； 6、方案存在5处及以上瑕疵或未提供方案计0分。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5.投标方案说明.docx</w:t>
            </w:r>
          </w:p>
        </w:tc>
      </w:tr>
      <w:tr>
        <w:tc>
          <w:tcPr>
            <w:tcW w:type="dxa" w:w="831"/>
            <w:vMerge/>
          </w:tcPr>
          <w:p/>
        </w:tc>
        <w:tc>
          <w:tcPr>
            <w:tcW w:type="dxa" w:w="1661"/>
          </w:tcPr>
          <w:p>
            <w:pPr>
              <w:pStyle w:val="null3"/>
            </w:pPr>
            <w:r>
              <w:rPr>
                <w:rFonts w:ascii="仿宋_GB2312" w:hAnsi="仿宋_GB2312" w:cs="仿宋_GB2312" w:eastAsia="仿宋_GB2312"/>
              </w:rPr>
              <w:t>综合能力</w:t>
            </w:r>
          </w:p>
        </w:tc>
        <w:tc>
          <w:tcPr>
            <w:tcW w:type="dxa" w:w="2492"/>
          </w:tcPr>
          <w:p>
            <w:pPr>
              <w:pStyle w:val="null3"/>
            </w:pPr>
            <w:r>
              <w:rPr>
                <w:rFonts w:ascii="仿宋_GB2312" w:hAnsi="仿宋_GB2312" w:cs="仿宋_GB2312" w:eastAsia="仿宋_GB2312"/>
              </w:rPr>
              <w:t>1、具备国家工信部CCSO呼叫中心服务质量和运营管理规范证书，计2分。 2、具有《基础电信业务经营许可证》的运营商或具有《增值电信业务经营许可证》的服务商，计2分。 3、投标人具有呼叫中心相关专利或软件著作权证书，每提供一个计1分，满分6分。 注：对于上述内容，需提供有效期内的证书或资质的证明材料扫描件并加盖单位公章。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5.投标方案说明.docx</w:t>
            </w:r>
          </w:p>
        </w:tc>
      </w:tr>
      <w:tr>
        <w:tc>
          <w:tcPr>
            <w:tcW w:type="dxa" w:w="831"/>
            <w:vMerge/>
          </w:tcPr>
          <w:p/>
        </w:tc>
        <w:tc>
          <w:tcPr>
            <w:tcW w:type="dxa" w:w="1661"/>
          </w:tcPr>
          <w:p>
            <w:pPr>
              <w:pStyle w:val="null3"/>
            </w:pPr>
            <w:r>
              <w:rPr>
                <w:rFonts w:ascii="仿宋_GB2312" w:hAnsi="仿宋_GB2312" w:cs="仿宋_GB2312" w:eastAsia="仿宋_GB2312"/>
              </w:rPr>
              <w:t>同类项目业绩案例</w:t>
            </w:r>
          </w:p>
        </w:tc>
        <w:tc>
          <w:tcPr>
            <w:tcW w:type="dxa" w:w="2492"/>
          </w:tcPr>
          <w:p>
            <w:pPr>
              <w:pStyle w:val="null3"/>
            </w:pPr>
            <w:r>
              <w:rPr>
                <w:rFonts w:ascii="仿宋_GB2312" w:hAnsi="仿宋_GB2312" w:cs="仿宋_GB2312" w:eastAsia="仿宋_GB2312"/>
              </w:rPr>
              <w:t>投标人需提供2022年1月1日至今（以合同签订日期为准）类似项目业绩，每份业绩计2分，共计10分；（投标人需提供相关业绩合同扫描件，至少包括投标人与用户签订的合同首页、合同关键页、签字盖章页等，缺项视为无效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5.投标方案说明.docx</w:t>
            </w:r>
          </w:p>
        </w:tc>
      </w:tr>
      <w:tr>
        <w:tc>
          <w:tcPr>
            <w:tcW w:type="dxa" w:w="831"/>
            <w:vMerge/>
          </w:tcPr>
          <w:p/>
        </w:tc>
        <w:tc>
          <w:tcPr>
            <w:tcW w:type="dxa" w:w="1661"/>
          </w:tcPr>
          <w:p>
            <w:pPr>
              <w:pStyle w:val="null3"/>
            </w:pPr>
            <w:r>
              <w:rPr>
                <w:rFonts w:ascii="仿宋_GB2312" w:hAnsi="仿宋_GB2312" w:cs="仿宋_GB2312" w:eastAsia="仿宋_GB2312"/>
              </w:rPr>
              <w:t>团队实力1</w:t>
            </w:r>
          </w:p>
        </w:tc>
        <w:tc>
          <w:tcPr>
            <w:tcW w:type="dxa" w:w="2492"/>
          </w:tcPr>
          <w:p>
            <w:pPr>
              <w:pStyle w:val="null3"/>
            </w:pPr>
            <w:r>
              <w:rPr>
                <w:rFonts w:ascii="仿宋_GB2312" w:hAnsi="仿宋_GB2312" w:cs="仿宋_GB2312" w:eastAsia="仿宋_GB2312"/>
              </w:rPr>
              <w:t>投标人提供项目成员名单，包括姓名、年龄、学历、职位、项目经历等，项目成员中需包含班组管理人员、质检培训人员、话务人员等实施人员，团队人员数量、岗位配置、人员素质须符合项目需求，根据人员配置方案的科学合理性、条理性、可行性进行评审。 1、方案完全满足需求，无瑕疵计8分； 2、方案存在1处瑕疵计6分； 3、方案存在2处瑕疵计4分； 4、方案存在3处瑕疵计2分； 5、方案存在4处及以上瑕疵或未提供方案计0分。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 注：投标人需提供上述人员配置清单及在本单位的任职证明，不提供的不计分。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5.投标方案说明.docx</w:t>
            </w:r>
          </w:p>
        </w:tc>
      </w:tr>
      <w:tr>
        <w:tc>
          <w:tcPr>
            <w:tcW w:type="dxa" w:w="831"/>
            <w:vMerge/>
          </w:tcPr>
          <w:p/>
        </w:tc>
        <w:tc>
          <w:tcPr>
            <w:tcW w:type="dxa" w:w="1661"/>
          </w:tcPr>
          <w:p>
            <w:pPr>
              <w:pStyle w:val="null3"/>
            </w:pPr>
            <w:r>
              <w:rPr>
                <w:rFonts w:ascii="仿宋_GB2312" w:hAnsi="仿宋_GB2312" w:cs="仿宋_GB2312" w:eastAsia="仿宋_GB2312"/>
              </w:rPr>
              <w:t>团队实力2</w:t>
            </w:r>
          </w:p>
        </w:tc>
        <w:tc>
          <w:tcPr>
            <w:tcW w:type="dxa" w:w="2492"/>
          </w:tcPr>
          <w:p>
            <w:pPr>
              <w:pStyle w:val="null3"/>
            </w:pPr>
            <w:r>
              <w:rPr>
                <w:rFonts w:ascii="仿宋_GB2312" w:hAnsi="仿宋_GB2312" w:cs="仿宋_GB2312" w:eastAsia="仿宋_GB2312"/>
              </w:rPr>
              <w:t>1、项目负责人具有信息系统项目管理师高级证书，计2分，否则不计分。 2、项目技术专家具备通信相关高级工程师证书，计2分，否则不计分； 注：投标人需提供上述人员相关证书扫描件及在本单位的任职证明，不提供的不计分。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5.投标方案说明.docx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在本项目采购需求的基础上，可根据自身情况提供其他利于本项目开展的承诺（包含但不限于信息安全承诺、保密承诺、应急预案、服务质量保障承诺、增值服务、优惠条件等），每提供一条计1分，满分6分。无承诺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小型、微型企业和监狱企业及符合财政部、民政部、中国残疾人联合会关于促进残疾人就业政府采购政策的通知，以上政策同时具备的仅对其进行一次10%的价格扣除，不重复扣除。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详见附件：2.服务内容及服务要求应答表.docx</w:t>
      </w:r>
    </w:p>
    <w:p>
      <w:pPr>
        <w:pStyle w:val="null3"/>
        <w:ind w:firstLine="960"/>
      </w:pPr>
      <w:r>
        <w:rPr>
          <w:rFonts w:ascii="仿宋_GB2312" w:hAnsi="仿宋_GB2312" w:cs="仿宋_GB2312" w:eastAsia="仿宋_GB2312"/>
        </w:rPr>
        <w:t>详见附件：3.商务条款响应说明.docx</w:t>
      </w:r>
    </w:p>
    <w:p>
      <w:pPr>
        <w:pStyle w:val="null3"/>
        <w:ind w:firstLine="960"/>
      </w:pPr>
      <w:r>
        <w:rPr>
          <w:rFonts w:ascii="仿宋_GB2312" w:hAnsi="仿宋_GB2312" w:cs="仿宋_GB2312" w:eastAsia="仿宋_GB2312"/>
        </w:rPr>
        <w:t>详见附件：4.投标人资格证明文件.docx</w:t>
      </w:r>
    </w:p>
    <w:p>
      <w:pPr>
        <w:pStyle w:val="null3"/>
        <w:ind w:firstLine="960"/>
      </w:pPr>
      <w:r>
        <w:rPr>
          <w:rFonts w:ascii="仿宋_GB2312" w:hAnsi="仿宋_GB2312" w:cs="仿宋_GB2312" w:eastAsia="仿宋_GB2312"/>
        </w:rPr>
        <w:t>详见附件：5.投标方案说明.docx</w:t>
      </w:r>
    </w:p>
    <w:p>
      <w:pPr>
        <w:pStyle w:val="null3"/>
        <w:ind w:firstLine="960"/>
      </w:pPr>
      <w:r>
        <w:rPr>
          <w:rFonts w:ascii="仿宋_GB2312" w:hAnsi="仿宋_GB2312" w:cs="仿宋_GB2312" w:eastAsia="仿宋_GB2312"/>
        </w:rPr>
        <w:t>详见附件：6.投标人承诺书.docx</w:t>
      </w:r>
    </w:p>
    <w:p>
      <w:pPr>
        <w:pStyle w:val="null3"/>
        <w:ind w:firstLine="960"/>
      </w:pPr>
      <w:r>
        <w:rPr>
          <w:rFonts w:ascii="仿宋_GB2312" w:hAnsi="仿宋_GB2312" w:cs="仿宋_GB2312" w:eastAsia="仿宋_GB2312"/>
        </w:rPr>
        <w:t>详见附件：7.保证金交纳凭证保函.docx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