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版本号：SCZC2025-CS-2359-00120250912001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委机关智慧食堂建设项目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SCZC2025-CS-2359-001</w:t>
      </w:r>
      <w:r>
        <w:br/>
      </w:r>
      <w:r>
        <w:br/>
      </w:r>
      <w:r>
        <w:br/>
      </w:r>
    </w:p>
    <w:p>
      <w:pPr>
        <w:pStyle w:val="null3"/>
        <w:jc w:val="center"/>
        <w:outlineLvl w:val="2"/>
      </w:pPr>
      <w:r>
        <w:rPr>
          <w:rFonts w:ascii="仿宋_GB2312" w:hAnsi="仿宋_GB2312" w:cs="仿宋_GB2312" w:eastAsia="仿宋_GB2312"/>
          <w:sz w:val="28"/>
          <w:b/>
        </w:rPr>
        <w:t>陕西省卫生健康委后勤服务中心</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2025年09月12日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陕西省卫生健康委后勤服务中心</w:t>
      </w:r>
      <w:r>
        <w:rPr>
          <w:rFonts w:ascii="仿宋_GB2312" w:hAnsi="仿宋_GB2312" w:cs="仿宋_GB2312" w:eastAsia="仿宋_GB2312"/>
        </w:rPr>
        <w:t>委托，拟对</w:t>
      </w:r>
      <w:r>
        <w:rPr>
          <w:rFonts w:ascii="仿宋_GB2312" w:hAnsi="仿宋_GB2312" w:cs="仿宋_GB2312" w:eastAsia="仿宋_GB2312"/>
        </w:rPr>
        <w:t>委机关智慧食堂建设项目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SCZC2025-CS-2359-001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委机关智慧食堂建设项目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委机关智慧食堂建设项目,具体内容详见竞争性磋商文件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查询：供应商在递交响应文件截止时间前被“信用中国”网站（www.creditchina.gov.cn）和中国政府采购网（www.ccgp.gov.cn）上被列入失信被执行人、重大税收违法失信主体、政府采购严重违法失信行为记录名单的，不得参加本项目磋商响应</w:t>
      </w:r>
    </w:p>
    <w:p>
      <w:pPr>
        <w:pStyle w:val="null3"/>
      </w:pPr>
      <w:r>
        <w:rPr>
          <w:rFonts w:ascii="仿宋_GB2312" w:hAnsi="仿宋_GB2312" w:cs="仿宋_GB2312" w:eastAsia="仿宋_GB2312"/>
        </w:rPr>
        <w:t>2、供应商特定资格条件：法定代表人直接参加磋商的，须出具法人身份证，并与营业执照上信息一致。法定代表人授权代表参加磋商的，须出具法定代表人授权书、授权代表身份证及被授权人本单位证明（提供授权代表在本单位养老保险缴纳证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陕西省卫生健康委后勤服务中心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陕西省西安市莲湖区莲湖路112号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张琼</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029-89620733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司岳涛、田婧、王莉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029-85257505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银行账号：103661183082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代理服务费收费标准：代理服务费参照《国家计委关于印发&lt;招标代理服务收费管理暂行办法&gt;的通知》（计价格[2002]1980号）规定标准收取，招标代理服务费不足6000.00元，按6000.00元收取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陕西省卫生健康委后勤服务中心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陕西省卫生健康委后勤服务中心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陕西省卫生健康委后勤服务中心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应严格按照《财政部关于进一步加强政府采购需求和履约验收管理的指导意见》（财库【2016】205号）的要求进行验收，同时按国家有关规定、采购文件的质量要求和技术指标、供应商的磋商响应文件及承诺与合同约定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地址：陕西省西安市高新区锦业路1号都市之门C座9层综合办公室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计划通过引入智慧食堂建设方案进行全面升级改造，在就餐环节将采用创新的自助选餐模式，配合高精度计量称重系统和先进的无感支付技术，构建"自助取餐-智能称重-自动结算"的完整闭环流程。项目主要内容包含智能称重设备、托盘绑定设备、智能托盘、配套管理软件、营养分析管理及相关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委机关智慧食堂建设项目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标的名称：委机关智慧食堂建设项目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both"/>
            </w:pPr>
            <w:r>
              <w:rPr>
                <w:rFonts w:ascii="仿宋_GB2312" w:hAnsi="仿宋_GB2312" w:cs="仿宋_GB2312" w:eastAsia="仿宋_GB2312"/>
                <w:sz w:val="21"/>
              </w:rPr>
              <w:t>5.1</w:t>
            </w:r>
            <w:r>
              <w:rPr>
                <w:rFonts w:ascii="仿宋_GB2312" w:hAnsi="仿宋_GB2312" w:cs="仿宋_GB2312" w:eastAsia="仿宋_GB2312"/>
                <w:sz w:val="21"/>
              </w:rPr>
              <w:t>需求如下：</w:t>
            </w:r>
          </w:p>
          <w:tbl>
            <w:tblPr>
              <w:tblBorders>
                <w:top w:val="none" w:color="000000" w:sz="4"/>
                <w:left w:val="none" w:color="000000" w:sz="4"/>
                <w:bottom w:val="none" w:color="000000" w:sz="4"/>
                <w:right w:val="none" w:color="000000" w:sz="4"/>
                <w:insideH w:val="none"/>
                <w:insideV w:val="none"/>
              </w:tblBorders>
            </w:tblPr>
            <w:tblGrid>
              <w:gridCol w:w="329"/>
              <w:gridCol w:w="1019"/>
              <w:gridCol w:w="595"/>
              <w:gridCol w:w="609"/>
            </w:tblGrid>
            <w:tr>
              <w:tc>
                <w:tcPr>
                  <w:tcW w:type="dxa" w:w="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10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货物名称</w:t>
                  </w:r>
                </w:p>
              </w:tc>
              <w:tc>
                <w:tcPr>
                  <w:tcW w:type="dxa" w:w="5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数量</w:t>
                  </w:r>
                </w:p>
              </w:tc>
              <w:tc>
                <w:tcPr>
                  <w:tcW w:type="dxa" w:w="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单位</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智能称重设备</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托盘绑定设备</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16口交换机</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无线AP</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服务器</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台</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智能称重设备管理软件</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托盘绑定设备管理软件</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食堂软件管理端</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营养分析管理</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食堂软件用户端</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套</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智能托盘</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240</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口水罩</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电热餐炉</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个</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实施安装服务</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10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设备年服务</w:t>
                  </w:r>
                </w:p>
              </w:tc>
              <w:tc>
                <w:tcPr>
                  <w:tcW w:type="dxa" w:w="5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项</w:t>
                  </w:r>
                </w:p>
              </w:tc>
            </w:tr>
          </w:tbl>
          <w:p>
            <w:pPr>
              <w:pStyle w:val="null3"/>
              <w:jc w:val="both"/>
            </w:pPr>
            <w:r>
              <w:rPr>
                <w:rFonts w:ascii="仿宋_GB2312" w:hAnsi="仿宋_GB2312" w:cs="仿宋_GB2312" w:eastAsia="仿宋_GB2312"/>
                <w:sz w:val="21"/>
              </w:rPr>
              <w:t>5.2 技术参数要求</w:t>
            </w:r>
          </w:p>
          <w:tbl>
            <w:tblPr>
              <w:tblBorders>
                <w:top w:val="none" w:color="000000" w:sz="4"/>
                <w:left w:val="none" w:color="000000" w:sz="4"/>
                <w:bottom w:val="none" w:color="000000" w:sz="4"/>
                <w:right w:val="none" w:color="000000" w:sz="4"/>
                <w:insideH w:val="none"/>
                <w:insideV w:val="none"/>
              </w:tblBorders>
            </w:tblPr>
            <w:tblGrid>
              <w:gridCol w:w="199"/>
              <w:gridCol w:w="383"/>
              <w:gridCol w:w="1971"/>
            </w:tblGrid>
            <w:tr>
              <w:tc>
                <w:tcPr>
                  <w:tcW w:type="dxa" w:w="1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序号</w:t>
                  </w: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品目号</w:t>
                  </w:r>
                </w:p>
              </w:tc>
              <w:tc>
                <w:tcPr>
                  <w:tcW w:type="dxa" w:w="1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参数及功能要求</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智能称重设备</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操作系统</w:t>
                  </w:r>
                </w:p>
              </w:tc>
              <w:tc>
                <w:tcPr>
                  <w:tcW w:type="dxa" w:w="1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不低于Android 7.1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处理器</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不低于四核 1.3GHz</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内存</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不低于1GB</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存储器</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不低于8GB</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屏幕尺寸</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不低于10.1英寸IPS</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屏幕分辨率</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不低于800*1280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触控屏</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支持多点触控</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通讯方式</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支持wifi、以太网</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center"/>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最大称重量</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不低于30KG</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托盘绑定设备</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操作系统</w:t>
                  </w:r>
                </w:p>
              </w:tc>
              <w:tc>
                <w:tcPr>
                  <w:tcW w:type="dxa" w:w="1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不低于Android 7.1</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CPU</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不低于4核 1.8GHz</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内存</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不低于4GB</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存储器</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不低于8GB</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屏幕</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不低于15.6英寸五点电容触摸屏(G+G)</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分 辨 率</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不低于1366 *768</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通讯方式</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支持WIFI、以太网</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16口交换机</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交换容量</w:t>
                  </w:r>
                </w:p>
              </w:tc>
              <w:tc>
                <w:tcPr>
                  <w:tcW w:type="dxa" w:w="1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不低于336Gbps</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包转发率</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不低于114Mpps</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其他参数</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不少于16个10/100/1000Mbps自适应电口，不少于4个SFP千兆光口</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设备功能</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支持VLAN、ACL、端口镜像、端口聚合等功能</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无线AP</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基础参数</w:t>
                  </w:r>
                </w:p>
              </w:tc>
              <w:tc>
                <w:tcPr>
                  <w:tcW w:type="dxa" w:w="1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不低于1500M-1800M双频五流Wi-Fi  不低于6千兆吸顶AP，不少于1个WAN/PoE上联端口，</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覆盖范围</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覆盖半径不低于20-25m（空旷）</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其他参数</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内置天线，支持2.4GHz/5GHz双频通信，支持802.11a/b/g/n/ac Wave1/Wave2/ax协议。</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服务器</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CPU</w:t>
                  </w:r>
                </w:p>
              </w:tc>
              <w:tc>
                <w:tcPr>
                  <w:tcW w:type="dxa" w:w="1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不低于8核</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内存</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不低于16GB</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硬盘</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不低于500GB SSD</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部署要求</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★需对本次项目所涉及系统进行本地化部署</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其他要求</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包含管理系统的本地化部署工作，包括环境安装、系统部署、系统测试等服务内容。</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智能称重设备管理软件</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一般功能要求</w:t>
                  </w:r>
                </w:p>
              </w:tc>
              <w:tc>
                <w:tcPr>
                  <w:tcW w:type="dxa" w:w="1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读取托盘时，应能识别到绑盘用户信息包括用户姓名、卡余额、菜品重量信息等数据；</w:t>
                  </w:r>
                </w:p>
                <w:p>
                  <w:pPr>
                    <w:pStyle w:val="null3"/>
                    <w:jc w:val="both"/>
                  </w:pPr>
                  <w:r>
                    <w:rPr>
                      <w:rFonts w:ascii="仿宋_GB2312" w:hAnsi="仿宋_GB2312" w:cs="仿宋_GB2312" w:eastAsia="仿宋_GB2312"/>
                      <w:sz w:val="21"/>
                    </w:rPr>
                    <w:t>支持自动记录称设备日志；</w:t>
                  </w:r>
                </w:p>
                <w:p>
                  <w:pPr>
                    <w:pStyle w:val="null3"/>
                    <w:jc w:val="both"/>
                  </w:pPr>
                  <w:r>
                    <w:rPr>
                      <w:rFonts w:ascii="仿宋_GB2312" w:hAnsi="仿宋_GB2312" w:cs="仿宋_GB2312" w:eastAsia="仿宋_GB2312"/>
                      <w:sz w:val="21"/>
                    </w:rPr>
                    <w:t>支持设置设定重量以内设备不计费的功能；</w:t>
                  </w:r>
                </w:p>
                <w:p>
                  <w:pPr>
                    <w:pStyle w:val="null3"/>
                    <w:jc w:val="both"/>
                  </w:pPr>
                  <w:r>
                    <w:rPr>
                      <w:rFonts w:ascii="仿宋_GB2312" w:hAnsi="仿宋_GB2312" w:cs="仿宋_GB2312" w:eastAsia="仿宋_GB2312"/>
                      <w:sz w:val="21"/>
                    </w:rPr>
                    <w:t>支持进行称测试功能；</w:t>
                  </w:r>
                </w:p>
                <w:p>
                  <w:pPr>
                    <w:pStyle w:val="null3"/>
                    <w:jc w:val="both"/>
                  </w:pPr>
                  <w:r>
                    <w:rPr>
                      <w:rFonts w:ascii="仿宋_GB2312" w:hAnsi="仿宋_GB2312" w:cs="仿宋_GB2312" w:eastAsia="仿宋_GB2312"/>
                      <w:sz w:val="21"/>
                    </w:rPr>
                    <w:t>支持进行读盘测试功能；</w:t>
                  </w:r>
                </w:p>
                <w:p>
                  <w:pPr>
                    <w:pStyle w:val="null3"/>
                    <w:jc w:val="both"/>
                  </w:pPr>
                  <w:r>
                    <w:rPr>
                      <w:rFonts w:ascii="仿宋_GB2312" w:hAnsi="仿宋_GB2312" w:cs="仿宋_GB2312" w:eastAsia="仿宋_GB2312"/>
                      <w:sz w:val="21"/>
                    </w:rPr>
                    <w:t>支持设置是否显示菜品营养素；</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核心功能要求</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▲要求设备识盘时间＜1s，计量精度≤1g；（供应商须提供相关证明材料，证明材料包括但不限于第三方检测报告、检验报告、资质证书等）</w:t>
                  </w:r>
                </w:p>
                <w:p>
                  <w:pPr>
                    <w:pStyle w:val="null3"/>
                    <w:jc w:val="both"/>
                  </w:pPr>
                  <w:r>
                    <w:rPr>
                      <w:rFonts w:ascii="仿宋_GB2312" w:hAnsi="仿宋_GB2312" w:cs="仿宋_GB2312" w:eastAsia="仿宋_GB2312"/>
                      <w:sz w:val="21"/>
                    </w:rPr>
                    <w:t>▲支持通过刷ID管理卡及输入账号密码的方式登录进入设备管理界面；（供应商须提供相关证明材料，证明材料包括但不限于第三方检测报告、检验报告、资质证书等）</w:t>
                  </w:r>
                </w:p>
                <w:p>
                  <w:pPr>
                    <w:pStyle w:val="null3"/>
                    <w:jc w:val="both"/>
                  </w:pPr>
                  <w:r>
                    <w:rPr>
                      <w:rFonts w:ascii="仿宋_GB2312" w:hAnsi="仿宋_GB2312" w:cs="仿宋_GB2312" w:eastAsia="仿宋_GB2312"/>
                      <w:sz w:val="21"/>
                    </w:rPr>
                    <w:t>▲支持对设备进行秤重量测试，能够测试秤的精度和秤数据的稳定性；（供应商须提供相关证明材料，证明材料包括但不限于第三方检测报告、检验报告、资质证书等）</w:t>
                  </w:r>
                </w:p>
                <w:p>
                  <w:pPr>
                    <w:pStyle w:val="null3"/>
                    <w:jc w:val="both"/>
                  </w:pPr>
                  <w:r>
                    <w:rPr>
                      <w:rFonts w:ascii="仿宋_GB2312" w:hAnsi="仿宋_GB2312" w:cs="仿宋_GB2312" w:eastAsia="仿宋_GB2312"/>
                      <w:sz w:val="21"/>
                    </w:rPr>
                    <w:t>▲支持打菜工具进行重量设置，同时支持设备自动计算出打菜工具重量的功能；（供应商须提供相关证明材料，证明材料包括但不限于第三方检测报告、检验报告、资质证书等）</w:t>
                  </w:r>
                </w:p>
                <w:p>
                  <w:pPr>
                    <w:pStyle w:val="null3"/>
                    <w:jc w:val="both"/>
                  </w:pPr>
                  <w:r>
                    <w:rPr>
                      <w:rFonts w:ascii="仿宋_GB2312" w:hAnsi="仿宋_GB2312" w:cs="仿宋_GB2312" w:eastAsia="仿宋_GB2312"/>
                      <w:sz w:val="21"/>
                    </w:rPr>
                    <w:t>▲支持防逃费功能，可设置首次重量变化时不进行餐盘数据读取，并根据设备上次稳定的重量数据进行打菜计重；（供应商须提供相关证明材料，证明材料包括但不限于第三方检测报告、检验报告、资质证书等）</w:t>
                  </w:r>
                </w:p>
                <w:p>
                  <w:pPr>
                    <w:pStyle w:val="null3"/>
                    <w:jc w:val="both"/>
                  </w:pPr>
                  <w:r>
                    <w:rPr>
                      <w:rFonts w:ascii="仿宋_GB2312" w:hAnsi="仿宋_GB2312" w:cs="仿宋_GB2312" w:eastAsia="仿宋_GB2312"/>
                      <w:sz w:val="21"/>
                    </w:rPr>
                    <w:t>▲支持压秤报警功能，当在未读取到托盘信息的时候，秤的重量发生波动，设备应能自动发出警报，支持自定义压秤灵敏度，支持自定义压秤报警时长；（供应商须提供相关证明材料，证明材料包括但不限于第三方检测报告、检验报告、资质证书等）</w:t>
                  </w:r>
                </w:p>
                <w:p>
                  <w:pPr>
                    <w:pStyle w:val="null3"/>
                    <w:jc w:val="both"/>
                  </w:pPr>
                  <w:r>
                    <w:rPr>
                      <w:rFonts w:ascii="仿宋_GB2312" w:hAnsi="仿宋_GB2312" w:cs="仿宋_GB2312" w:eastAsia="仿宋_GB2312"/>
                      <w:sz w:val="21"/>
                    </w:rPr>
                    <w:t>▲支持消费达到最大消费金额或重量时，设备发出提示；（供应商须提供相关证明材料，证明材料包括但不限于第三方检测报告、检验报告、资质证书等）</w:t>
                  </w:r>
                </w:p>
                <w:p>
                  <w:pPr>
                    <w:pStyle w:val="null3"/>
                    <w:jc w:val="both"/>
                  </w:pPr>
                  <w:r>
                    <w:rPr>
                      <w:rFonts w:ascii="仿宋_GB2312" w:hAnsi="仿宋_GB2312" w:cs="仿宋_GB2312" w:eastAsia="仿宋_GB2312"/>
                      <w:sz w:val="21"/>
                    </w:rPr>
                    <w:t>▲支持设备离线模式，可在断网后进入离线模式，并在网络恢复后同步离线记录的数据。（供应商须提供相关证明材料，证明材料包括但不限于第三方检测报告、检验报告、资质证书等）</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托盘绑定设备管理软件</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一般功能要求</w:t>
                  </w:r>
                </w:p>
              </w:tc>
              <w:tc>
                <w:tcPr>
                  <w:tcW w:type="dxa" w:w="1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支持管理卡刷卡登录控制界面；</w:t>
                  </w:r>
                </w:p>
                <w:p>
                  <w:pPr>
                    <w:pStyle w:val="null3"/>
                    <w:jc w:val="both"/>
                  </w:pPr>
                  <w:r>
                    <w:rPr>
                      <w:rFonts w:ascii="仿宋_GB2312" w:hAnsi="仿宋_GB2312" w:cs="仿宋_GB2312" w:eastAsia="仿宋_GB2312"/>
                      <w:sz w:val="21"/>
                    </w:rPr>
                    <w:t>可通过人脸识别获取已注册的用户信息，进行托盘绑定；</w:t>
                  </w:r>
                </w:p>
                <w:p>
                  <w:pPr>
                    <w:pStyle w:val="null3"/>
                    <w:jc w:val="both"/>
                  </w:pPr>
                  <w:r>
                    <w:rPr>
                      <w:rFonts w:ascii="仿宋_GB2312" w:hAnsi="仿宋_GB2312" w:cs="仿宋_GB2312" w:eastAsia="仿宋_GB2312"/>
                      <w:sz w:val="21"/>
                    </w:rPr>
                    <w:t>可使用刷卡的方式获取已注册的用户信息，进行托盘绑定；</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核心功能要求</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▲支持通过刷卡的方式展示当前用户绑定的微信二维码；（供应商须提供相关证明材料，证明材料包括但不限于第三方检测报告、检验报告、资质证书等）</w:t>
                  </w:r>
                </w:p>
                <w:p>
                  <w:pPr>
                    <w:pStyle w:val="null3"/>
                    <w:jc w:val="both"/>
                  </w:pPr>
                  <w:r>
                    <w:rPr>
                      <w:rFonts w:ascii="仿宋_GB2312" w:hAnsi="仿宋_GB2312" w:cs="仿宋_GB2312" w:eastAsia="仿宋_GB2312"/>
                      <w:sz w:val="21"/>
                    </w:rPr>
                    <w:t>▲支持在系统升级时对已有人脸数据进行备份，并可在升级完毕后恢复备份的人脸数据；（供应商须提供相关证明材料，证明材料包括但不限于第三方检测报告、检验报告、资质证书等）</w:t>
                  </w:r>
                </w:p>
                <w:p>
                  <w:pPr>
                    <w:pStyle w:val="null3"/>
                    <w:jc w:val="both"/>
                  </w:pPr>
                  <w:r>
                    <w:rPr>
                      <w:rFonts w:ascii="仿宋_GB2312" w:hAnsi="仿宋_GB2312" w:cs="仿宋_GB2312" w:eastAsia="仿宋_GB2312"/>
                      <w:sz w:val="21"/>
                    </w:rPr>
                    <w:t>▲支持设备设置活体检测，同时支持设置识别人脸大小值，控制识别范围；（供应商须提供相关证明材料，证明材料包括但不限于第三方检测报告、检验报告、资质证书等）</w:t>
                  </w:r>
                </w:p>
                <w:p>
                  <w:pPr>
                    <w:pStyle w:val="null3"/>
                    <w:jc w:val="both"/>
                  </w:pPr>
                  <w:r>
                    <w:rPr>
                      <w:rFonts w:ascii="仿宋_GB2312" w:hAnsi="仿宋_GB2312" w:cs="仿宋_GB2312" w:eastAsia="仿宋_GB2312"/>
                      <w:sz w:val="21"/>
                    </w:rPr>
                    <w:t>▲支持对人脸识别阈值进行设置，同时支持上传和下载人脸特征值；（供应商须提供相关证明材料，证明材料包括但不限于第三方检测报告、检验报告、资质证书等）</w:t>
                  </w:r>
                </w:p>
                <w:p>
                  <w:pPr>
                    <w:pStyle w:val="null3"/>
                    <w:jc w:val="both"/>
                  </w:pPr>
                  <w:r>
                    <w:rPr>
                      <w:rFonts w:ascii="仿宋_GB2312" w:hAnsi="仿宋_GB2312" w:cs="仿宋_GB2312" w:eastAsia="仿宋_GB2312"/>
                      <w:sz w:val="21"/>
                    </w:rPr>
                    <w:t>▲支持设备模式切换，可按照实际需求切换包括预先绑定托盘再消费、先取菜后支付或更多模式。（供应商须提供相关证明材料，证明材料包括但不限于第三方检测报告、检验报告、资质证书等）</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食堂软件管理端</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系统架构</w:t>
                  </w:r>
                </w:p>
              </w:tc>
              <w:tc>
                <w:tcPr>
                  <w:tcW w:type="dxa" w:w="1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后台管理软件应为B/S模式的系统架构，本地电脑无须安装程序即可使用，更换电脑操作系统等不受影响；</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一般功能要求</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应支持订单明细统计，并能明确各订单的支付用户、就餐餐别、 订单商品等信息；</w:t>
                  </w:r>
                </w:p>
                <w:p>
                  <w:pPr>
                    <w:pStyle w:val="null3"/>
                    <w:jc w:val="both"/>
                  </w:pPr>
                  <w:r>
                    <w:rPr>
                      <w:rFonts w:ascii="仿宋_GB2312" w:hAnsi="仿宋_GB2312" w:cs="仿宋_GB2312" w:eastAsia="仿宋_GB2312"/>
                      <w:sz w:val="21"/>
                    </w:rPr>
                    <w:t>应支持设置不同的餐别，每个餐别可设置不同的就餐时段，并且后台可查询每一餐的消费情况；</w:t>
                  </w:r>
                </w:p>
                <w:p>
                  <w:pPr>
                    <w:pStyle w:val="null3"/>
                    <w:jc w:val="both"/>
                  </w:pPr>
                  <w:r>
                    <w:rPr>
                      <w:rFonts w:ascii="仿宋_GB2312" w:hAnsi="仿宋_GB2312" w:cs="仿宋_GB2312" w:eastAsia="仿宋_GB2312"/>
                      <w:sz w:val="21"/>
                    </w:rPr>
                    <w:t>应具备快捷支付，支持二维码、人脸支付；</w:t>
                  </w:r>
                </w:p>
                <w:p>
                  <w:pPr>
                    <w:pStyle w:val="null3"/>
                    <w:jc w:val="both"/>
                  </w:pPr>
                  <w:r>
                    <w:rPr>
                      <w:rFonts w:ascii="仿宋_GB2312" w:hAnsi="仿宋_GB2312" w:cs="仿宋_GB2312" w:eastAsia="仿宋_GB2312"/>
                      <w:sz w:val="21"/>
                    </w:rPr>
                    <w:t>支持与前端设备实现菜品同步；</w:t>
                  </w:r>
                </w:p>
                <w:p>
                  <w:pPr>
                    <w:pStyle w:val="null3"/>
                    <w:jc w:val="both"/>
                  </w:pPr>
                  <w:r>
                    <w:rPr>
                      <w:rFonts w:ascii="仿宋_GB2312" w:hAnsi="仿宋_GB2312" w:cs="仿宋_GB2312" w:eastAsia="仿宋_GB2312"/>
                      <w:sz w:val="21"/>
                    </w:rPr>
                    <w:t>普通用户与员工进行不同形式的折扣比例；</w:t>
                  </w:r>
                </w:p>
                <w:p>
                  <w:pPr>
                    <w:pStyle w:val="null3"/>
                    <w:jc w:val="both"/>
                  </w:pPr>
                  <w:r>
                    <w:rPr>
                      <w:rFonts w:ascii="仿宋_GB2312" w:hAnsi="仿宋_GB2312" w:cs="仿宋_GB2312" w:eastAsia="仿宋_GB2312"/>
                      <w:sz w:val="21"/>
                    </w:rPr>
                    <w:t>系统应具备就餐效率分析功能，管理员可查看指定餐别的用餐数据。</w:t>
                  </w:r>
                </w:p>
                <w:p>
                  <w:pPr>
                    <w:pStyle w:val="null3"/>
                    <w:jc w:val="both"/>
                  </w:pPr>
                  <w:r>
                    <w:rPr>
                      <w:rFonts w:ascii="仿宋_GB2312" w:hAnsi="仿宋_GB2312" w:cs="仿宋_GB2312" w:eastAsia="仿宋_GB2312"/>
                      <w:sz w:val="21"/>
                    </w:rPr>
                    <w:t>支持设置自由消费功能，食堂工作人员可以自定义设置金额；</w:t>
                  </w:r>
                </w:p>
                <w:p>
                  <w:pPr>
                    <w:pStyle w:val="null3"/>
                    <w:jc w:val="both"/>
                  </w:pPr>
                  <w:r>
                    <w:rPr>
                      <w:rFonts w:ascii="仿宋_GB2312" w:hAnsi="仿宋_GB2312" w:cs="仿宋_GB2312" w:eastAsia="仿宋_GB2312"/>
                      <w:sz w:val="21"/>
                    </w:rPr>
                    <w:t>支持食堂工作人员自己选择菜品进行出售并能够自动计算价格；</w:t>
                  </w:r>
                </w:p>
                <w:p>
                  <w:pPr>
                    <w:pStyle w:val="null3"/>
                    <w:jc w:val="both"/>
                  </w:pPr>
                  <w:r>
                    <w:rPr>
                      <w:rFonts w:ascii="仿宋_GB2312" w:hAnsi="仿宋_GB2312" w:cs="仿宋_GB2312" w:eastAsia="仿宋_GB2312"/>
                      <w:sz w:val="21"/>
                    </w:rPr>
                    <w:t>可对企业内部员工的消费进行限额，包括限额餐别、适用人员、扣费类型和执行周期；</w:t>
                  </w:r>
                </w:p>
                <w:p>
                  <w:pPr>
                    <w:pStyle w:val="null3"/>
                    <w:jc w:val="both"/>
                  </w:pPr>
                  <w:r>
                    <w:rPr>
                      <w:rFonts w:ascii="仿宋_GB2312" w:hAnsi="仿宋_GB2312" w:cs="仿宋_GB2312" w:eastAsia="仿宋_GB2312"/>
                      <w:sz w:val="21"/>
                    </w:rPr>
                    <w:t>支持禁止用户账号金额不够支付当前所选菜品是进行禁止消费；</w:t>
                  </w:r>
                </w:p>
                <w:p>
                  <w:pPr>
                    <w:pStyle w:val="null3"/>
                    <w:jc w:val="both"/>
                  </w:pPr>
                  <w:r>
                    <w:rPr>
                      <w:rFonts w:ascii="仿宋_GB2312" w:hAnsi="仿宋_GB2312" w:cs="仿宋_GB2312" w:eastAsia="仿宋_GB2312"/>
                      <w:sz w:val="21"/>
                    </w:rPr>
                    <w:t>▲供应商需提供管理平台类的有效证明材料，证明材料包括但不限于第三方检测报告、检验报告、资质证书等。</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营养分析管理</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一般功能要求</w:t>
                  </w:r>
                </w:p>
              </w:tc>
              <w:tc>
                <w:tcPr>
                  <w:tcW w:type="dxa" w:w="1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营养数据：管理后台应能对食材进行营养素录入，并且通过菜品的食材用量自动计算出该菜品的单位营养成分；</w:t>
                  </w:r>
                </w:p>
                <w:p>
                  <w:pPr>
                    <w:pStyle w:val="null3"/>
                    <w:jc w:val="both"/>
                  </w:pPr>
                  <w:r>
                    <w:rPr>
                      <w:rFonts w:ascii="仿宋_GB2312" w:hAnsi="仿宋_GB2312" w:cs="仿宋_GB2312" w:eastAsia="仿宋_GB2312"/>
                      <w:sz w:val="21"/>
                    </w:rPr>
                    <w:t>营养摄入分析：支持用户在订单信息中查看上周所摄入的营养周报，能够查看个人一周摄入热量、营养摄入达标率等数据及饮食建议；</w:t>
                  </w:r>
                </w:p>
                <w:p>
                  <w:pPr>
                    <w:pStyle w:val="null3"/>
                    <w:jc w:val="both"/>
                  </w:pPr>
                  <w:r>
                    <w:rPr>
                      <w:rFonts w:ascii="仿宋_GB2312" w:hAnsi="仿宋_GB2312" w:cs="仿宋_GB2312" w:eastAsia="仿宋_GB2312"/>
                      <w:sz w:val="21"/>
                    </w:rPr>
                    <w:t>营养摄入排行：支持对各个订单的菜品进行营养成分排行，展示各类营养摄入的菜品排行等信息；</w:t>
                  </w:r>
                </w:p>
                <w:p>
                  <w:pPr>
                    <w:pStyle w:val="null3"/>
                    <w:jc w:val="both"/>
                  </w:pPr>
                  <w:r>
                    <w:rPr>
                      <w:rFonts w:ascii="仿宋_GB2312" w:hAnsi="仿宋_GB2312" w:cs="仿宋_GB2312" w:eastAsia="仿宋_GB2312"/>
                      <w:sz w:val="21"/>
                    </w:rPr>
                    <w:t>摄入目标：支持用户自定义每日的摄入目标；</w:t>
                  </w:r>
                </w:p>
                <w:p>
                  <w:pPr>
                    <w:pStyle w:val="null3"/>
                    <w:jc w:val="both"/>
                  </w:pPr>
                  <w:r>
                    <w:rPr>
                      <w:rFonts w:ascii="仿宋_GB2312" w:hAnsi="仿宋_GB2312" w:cs="仿宋_GB2312" w:eastAsia="仿宋_GB2312"/>
                      <w:sz w:val="21"/>
                    </w:rPr>
                    <w:t>营养分析：支持对用户的就餐情况进行营养数据对比，能够根据摄入目标自动分配每个餐别的摄入量，并提示该餐营养摄入情况是否达标；</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食堂软件用户端</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一般功能要求</w:t>
                  </w:r>
                </w:p>
              </w:tc>
              <w:tc>
                <w:tcPr>
                  <w:tcW w:type="dxa" w:w="1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支持用户查看个人钱包余额，能够按照钱包种类查看各个钱包余额及总账户金额；</w:t>
                  </w:r>
                </w:p>
                <w:p>
                  <w:pPr>
                    <w:pStyle w:val="null3"/>
                    <w:jc w:val="both"/>
                  </w:pPr>
                  <w:r>
                    <w:rPr>
                      <w:rFonts w:ascii="仿宋_GB2312" w:hAnsi="仿宋_GB2312" w:cs="仿宋_GB2312" w:eastAsia="仿宋_GB2312"/>
                      <w:sz w:val="21"/>
                    </w:rPr>
                    <w:t>支持用户查看个人消费订单信息，包括订单菜品、菜品价格、下单时间、支付明细等数据；</w:t>
                  </w:r>
                </w:p>
                <w:p>
                  <w:pPr>
                    <w:pStyle w:val="null3"/>
                    <w:jc w:val="both"/>
                  </w:pPr>
                  <w:r>
                    <w:rPr>
                      <w:rFonts w:ascii="仿宋_GB2312" w:hAnsi="仿宋_GB2312" w:cs="仿宋_GB2312" w:eastAsia="仿宋_GB2312"/>
                      <w:sz w:val="21"/>
                    </w:rPr>
                    <w:t>支持用户查看个人就餐营养分析数据及当天三餐分别的摄入详情；</w:t>
                  </w:r>
                </w:p>
                <w:p>
                  <w:pPr>
                    <w:pStyle w:val="null3"/>
                    <w:jc w:val="both"/>
                  </w:pPr>
                  <w:r>
                    <w:rPr>
                      <w:rFonts w:ascii="仿宋_GB2312" w:hAnsi="仿宋_GB2312" w:cs="仿宋_GB2312" w:eastAsia="仿宋_GB2312"/>
                      <w:sz w:val="21"/>
                    </w:rPr>
                    <w:t>支持用户对订单的评价功能，提供匿名评价功能及对订单菜品点赞功能；</w:t>
                  </w:r>
                </w:p>
                <w:p>
                  <w:pPr>
                    <w:pStyle w:val="null3"/>
                    <w:jc w:val="both"/>
                  </w:pPr>
                  <w:r>
                    <w:rPr>
                      <w:rFonts w:ascii="仿宋_GB2312" w:hAnsi="仿宋_GB2312" w:cs="仿宋_GB2312" w:eastAsia="仿宋_GB2312"/>
                      <w:sz w:val="21"/>
                    </w:rPr>
                    <w:t>支持用户进行对食堂的意见反馈功能；</w:t>
                  </w:r>
                </w:p>
                <w:p>
                  <w:pPr>
                    <w:pStyle w:val="null3"/>
                    <w:jc w:val="both"/>
                  </w:pPr>
                  <w:r>
                    <w:rPr>
                      <w:rFonts w:ascii="仿宋_GB2312" w:hAnsi="仿宋_GB2312" w:cs="仿宋_GB2312" w:eastAsia="仿宋_GB2312"/>
                      <w:sz w:val="21"/>
                    </w:rPr>
                    <w:t>支持饮食忌口功能，在就餐时能够主动提醒忌口情况；</w:t>
                  </w:r>
                </w:p>
                <w:p>
                  <w:pPr>
                    <w:pStyle w:val="null3"/>
                    <w:jc w:val="both"/>
                  </w:pPr>
                  <w:r>
                    <w:rPr>
                      <w:rFonts w:ascii="仿宋_GB2312" w:hAnsi="仿宋_GB2312" w:cs="仿宋_GB2312" w:eastAsia="仿宋_GB2312"/>
                      <w:sz w:val="21"/>
                    </w:rPr>
                    <w:t>支持健康饮食功能，输入用户个人信息后系统自动计算并推荐每日的各类营养素摄入值；</w:t>
                  </w:r>
                </w:p>
                <w:p>
                  <w:pPr>
                    <w:pStyle w:val="null3"/>
                    <w:jc w:val="both"/>
                  </w:pPr>
                  <w:r>
                    <w:rPr>
                      <w:rFonts w:ascii="仿宋_GB2312" w:hAnsi="仿宋_GB2312" w:cs="仿宋_GB2312" w:eastAsia="仿宋_GB2312"/>
                      <w:sz w:val="21"/>
                    </w:rPr>
                    <w:t>▲供应商需提供公众号或小程序系统类的有效证明材料，证明材料包括但不限于第三方检测报告、检验报告、资质证书等。</w:t>
                  </w:r>
                </w:p>
                <w:p>
                  <w:pPr>
                    <w:pStyle w:val="null3"/>
                    <w:jc w:val="both"/>
                  </w:pPr>
                  <w:r>
                    <w:rPr>
                      <w:rFonts w:ascii="仿宋_GB2312" w:hAnsi="仿宋_GB2312" w:cs="仿宋_GB2312" w:eastAsia="仿宋_GB2312"/>
                      <w:sz w:val="21"/>
                    </w:rPr>
                    <w:t>▲为保证用户注册数据安全，供应商需提供具有保障人脸安全认证类的有效证明材料，证明材料包括但不限于第三方检测报告、检验报告、资质证书等。</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智能托盘</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材质</w:t>
                  </w:r>
                </w:p>
              </w:tc>
              <w:tc>
                <w:tcPr>
                  <w:tcW w:type="dxa" w:w="1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ABS料</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表面耐温</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不低于100℃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水洗耐温</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不低于100℃</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功能用途</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利用托盘对应的芯片通过绑卡机设备与系统内人员信息进行绑定</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口水罩</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材质</w:t>
                  </w:r>
                </w:p>
              </w:tc>
              <w:tc>
                <w:tcPr>
                  <w:tcW w:type="dxa" w:w="1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亚克力</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其他参数</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含报警灯及照明灯光</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功能用途</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报警灯支持由称重一体机发送的不同报警内容而亮起不同颜色的报警灯光，并发出警报声不低于3秒</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电热餐炉</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容量</w:t>
                  </w:r>
                </w:p>
              </w:tc>
              <w:tc>
                <w:tcPr>
                  <w:tcW w:type="dxa" w:w="1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不低于8.5升</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材质</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食品级不锈钢</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功率</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不高于600w</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功能用途</w:t>
                  </w:r>
                </w:p>
              </w:tc>
              <w:tc>
                <w:tcPr>
                  <w:tcW w:type="dxa" w:w="1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食物盆表面温度均匀，食物盆底部温差1-3度，温度可调范围：30-90度。</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实施安装服务</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服务内容</w:t>
                  </w:r>
                </w:p>
              </w:tc>
              <w:tc>
                <w:tcPr>
                  <w:tcW w:type="dxa" w:w="1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包含货物运输、设备安装、系统调试、系统培训、开餐保障等服务内容。</w:t>
                  </w:r>
                </w:p>
              </w:tc>
            </w:tr>
            <w:tr>
              <w:tc>
                <w:tcPr>
                  <w:tcW w:type="dxa" w:w="255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rPr>
                    <w:t>设备年服务</w:t>
                  </w:r>
                </w:p>
              </w:tc>
            </w:tr>
            <w:tr>
              <w:tc>
                <w:tcPr>
                  <w:tcW w:type="dxa" w:w="1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right"/>
                  </w:pPr>
                </w:p>
              </w:tc>
              <w:tc>
                <w:tcPr>
                  <w:tcW w:type="dxa" w:w="3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服务内容</w:t>
                  </w:r>
                </w:p>
              </w:tc>
              <w:tc>
                <w:tcPr>
                  <w:tcW w:type="dxa" w:w="1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包含设备维修保养、软件系统维护、远程技术支持、现场技术支持等服务内容。</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具体内容详见招标文件</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具体内容详见招标文件</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具体内容详见招标文件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合同签订后15个日历天内完成交付</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甲方将严格按照政府采购相关法律法规以及《财政部关于进一步加强政府采购需求和履约验收管理的指导意见》（财库[2016]205号）的要求进行验收。验收结果合格的，乙方凭验收报告办理相关手续；验收结果不合格的，将不予支付采购资金，同时报告本项目同级财政部门按照政府采购法律法规有关规定给予行政处罚或者以失信行为记入诚信档案。甲乙双方如对质量要求和技术指标的约定标准有相互抵触或异议的事项，由甲方在磋商文件与磋商响应文件中按质量要求和技术指标比较优胜的原则确定该项的约定标准进行验收。验收时如发现所交付的货物有短装、次品、损坏或其它不符合标准及本合同规定之情形者，视情况甲方可拒绝验收、要求退换、或做出详尽的现场记录，或由甲乙双方签署备忘录，此现场记录或备忘录，包括但不限于现场照片、录像等证据单可用作补充、缺失和更换损坏部件的有效证据，由此产生的时间延误与有关费用由乙方承担，验收期限相应顺延；如最终质量验收合格，甲乙双方签署质量验收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合同签订并具备项目实施条件后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项目建设完成并通过验收后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因违反或终止合同而引起的对对方损失和损害的赔偿，双方应当协商解决，如未能达成一致，可提交主管部门协调，如仍未能达成一致时，向采购人所在地人民法院起诉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本次报价须为人民币报价，包含但不限于：货物、安装、税费、运杂费、安装调试费、保险费、装卸费、仓储费、验收、设计费等所有费用，因供应商自身原因造成漏报、少报皆由其自行承担责任，采购人不再补偿</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合法注册的法人或其他组织的营业执照等证明文件，自然人的身份证明；（2）供应商应提供健全的财务会计制度的证明材料；（3）供应商提供响应文件提交截止时间前半年内任意一个月缴纳税收的凭证（时间以税款所属时期为准），依法免税或无须缴纳税收的供应商应提供相应文件证明；（4）供应商提供响应文件提交截止时间前半年内任意一个月缴纳社会保险的凭据，依法不需要缴纳社会保障资金的供应商应提供相应证明文件；（5）供应商提供具备履行合同所必需的设备和专业技术能力的承诺；（6）法律、行政法规规定的其他条件：不存在违反法律法规的情况。</w:t>
            </w:r>
          </w:p>
        </w:tc>
        <w:tc>
          <w:tcPr>
            <w:tcW w:type="dxa" w:w="1661"/>
          </w:tcPr>
          <w:p>
            <w:pPr>
              <w:pStyle w:val="null3"/>
            </w:pPr>
            <w:r>
              <w:rPr>
                <w:rFonts w:ascii="仿宋_GB2312" w:hAnsi="仿宋_GB2312" w:cs="仿宋_GB2312" w:eastAsia="仿宋_GB2312"/>
              </w:rPr>
              <w:t>响应文件封面 拒绝贿赂承诺书.docx 首次磋商报价明细表.docx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 （1）提供2024年度财务报告复印件，应满足以下要求：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 （2）提供资信证明原件或复印件，应满足以下要求： ① 资信证明须为递交响应文件截止时间前三个月内由供应商基本账户开户银行出具。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本项目磋商响应</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法定代表人直接参加磋商的，须出具法人身份证，并与营业执照上信息一致。法定代表人授权代表参加磋商的，须出具法定代表人授权书、授权代表身份证及被授权人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按磋商文件格式要求加盖了供应商公章和有法定代表人或其授权代表签字或加盖人名章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拒绝贿赂承诺书.docx 首次磋商报价明细表.docx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首次磋商报价明细表.docx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报价合理性</w:t>
            </w:r>
          </w:p>
        </w:tc>
        <w:tc>
          <w:tcPr>
            <w:tcW w:type="dxa" w:w="3322"/>
          </w:tcPr>
          <w:p>
            <w:pPr>
              <w:pStyle w:val="null3"/>
            </w:pPr>
            <w:r>
              <w:rPr>
                <w:rFonts w:ascii="仿宋_GB2312" w:hAnsi="仿宋_GB2312" w:cs="仿宋_GB2312" w:eastAsia="仿宋_GB2312"/>
              </w:rPr>
              <w:t>供应商的报价没有出现明显低于其他通过符合性审查供应商的报价，有可能影响服务质量或者不能诚信履约的，且供应商不能证明其报价合理性的情况</w:t>
            </w:r>
          </w:p>
        </w:tc>
        <w:tc>
          <w:tcPr>
            <w:tcW w:type="dxa" w:w="1661"/>
          </w:tcPr>
          <w:p>
            <w:pPr>
              <w:pStyle w:val="null3"/>
            </w:pPr>
            <w:r>
              <w:rPr>
                <w:rFonts w:ascii="仿宋_GB2312" w:hAnsi="仿宋_GB2312" w:cs="仿宋_GB2312" w:eastAsia="仿宋_GB2312"/>
              </w:rPr>
              <w:t>首次磋商报价明细表.docx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响应内容没有出现漏项或与要求不符或响应内容的技术指标达不到竞争性磋商文件要求，造成采购档次降低或影响服务实质性内容的情况。</w:t>
            </w:r>
          </w:p>
        </w:tc>
        <w:tc>
          <w:tcPr>
            <w:tcW w:type="dxa" w:w="1661"/>
          </w:tcPr>
          <w:p>
            <w:pPr>
              <w:pStyle w:val="null3"/>
            </w:pPr>
            <w:r>
              <w:rPr>
                <w:rFonts w:ascii="仿宋_GB2312" w:hAnsi="仿宋_GB2312" w:cs="仿宋_GB2312" w:eastAsia="仿宋_GB2312"/>
              </w:rPr>
              <w:t>首次磋商报价明细表.docx 商务技术文件.docx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商务技术文件.docx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响应保证金</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商务技术文件.docx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首次磋商报价明细表.docx 标的清单 报价表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合同履行期限及履约地点</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响应文件封面 首次磋商报价明细表.docx 商务技术文件.docx 标的清单 报价表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付款方式不允许偏离，供应商必须完全响应</w:t>
            </w:r>
          </w:p>
        </w:tc>
        <w:tc>
          <w:tcPr>
            <w:tcW w:type="dxa" w:w="1661"/>
          </w:tcPr>
          <w:p>
            <w:pPr>
              <w:pStyle w:val="null3"/>
            </w:pPr>
            <w:r>
              <w:rPr>
                <w:rFonts w:ascii="仿宋_GB2312" w:hAnsi="仿宋_GB2312" w:cs="仿宋_GB2312" w:eastAsia="仿宋_GB2312"/>
              </w:rPr>
              <w:t>响应文件封面 商务技术文件.docx 响应函</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满足竞争性磋商文件要求</w:t>
            </w:r>
          </w:p>
        </w:tc>
        <w:tc>
          <w:tcPr>
            <w:tcW w:type="dxa" w:w="1661"/>
          </w:tcPr>
          <w:p>
            <w:pPr>
              <w:pStyle w:val="null3"/>
            </w:pPr>
            <w:r>
              <w:rPr>
                <w:rFonts w:ascii="仿宋_GB2312" w:hAnsi="仿宋_GB2312" w:cs="仿宋_GB2312" w:eastAsia="仿宋_GB2312"/>
              </w:rPr>
              <w:t>响应文件封面 商务技术文件.docx 响应函</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带★号条款</w:t>
            </w:r>
          </w:p>
        </w:tc>
        <w:tc>
          <w:tcPr>
            <w:tcW w:type="dxa" w:w="3322"/>
          </w:tcPr>
          <w:p>
            <w:pPr>
              <w:pStyle w:val="null3"/>
            </w:pPr>
            <w:r>
              <w:rPr>
                <w:rFonts w:ascii="仿宋_GB2312" w:hAnsi="仿宋_GB2312" w:cs="仿宋_GB2312" w:eastAsia="仿宋_GB2312"/>
              </w:rPr>
              <w:t>带★号条款为实质性条款，不满足作无效响应处理</w:t>
            </w:r>
          </w:p>
        </w:tc>
        <w:tc>
          <w:tcPr>
            <w:tcW w:type="dxa" w:w="1661"/>
          </w:tcPr>
          <w:p>
            <w:pPr>
              <w:pStyle w:val="null3"/>
            </w:pPr>
            <w:r>
              <w:rPr>
                <w:rFonts w:ascii="仿宋_GB2312" w:hAnsi="仿宋_GB2312" w:cs="仿宋_GB2312" w:eastAsia="仿宋_GB2312"/>
              </w:rPr>
              <w:t>响应文件封面 商务技术文件.docx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自2022年1月1日起至今（以合同签订时间为准），供应商承担过与本项目类似的业绩。每提供1个有效业绩得2分，最高得10分。 注：以上业绩需提供合同复印件。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本项目技术参数中带▲号，供应商全部符合竞争性磋商文件要求得24分，每负偏离1项扣1.5分，扣完为止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系统开发及集成方案</w:t>
            </w:r>
          </w:p>
        </w:tc>
        <w:tc>
          <w:tcPr>
            <w:tcW w:type="dxa" w:w="2492"/>
          </w:tcPr>
          <w:p>
            <w:pPr>
              <w:pStyle w:val="null3"/>
            </w:pPr>
            <w:r>
              <w:rPr>
                <w:rFonts w:ascii="仿宋_GB2312" w:hAnsi="仿宋_GB2312" w:cs="仿宋_GB2312" w:eastAsia="仿宋_GB2312"/>
              </w:rPr>
              <w:t>供应商系统开发及集成方案（包括但不限于业务流程设计、功能架构设计、系统功能设计、与现有系统对接等）。方案内容无缺陷得15分，方案内容每存在1处缺陷扣1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 备注：与现有系统对接包括但不限于OA、财务系统等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应急预案（包括但不限于设备突然损坏、软件系统临时崩溃等）；方案内容完整无缺陷得6分，方案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设备运输、安装、调试及开餐保障方案</w:t>
            </w:r>
          </w:p>
        </w:tc>
        <w:tc>
          <w:tcPr>
            <w:tcW w:type="dxa" w:w="2492"/>
          </w:tcPr>
          <w:p>
            <w:pPr>
              <w:pStyle w:val="null3"/>
            </w:pPr>
            <w:r>
              <w:rPr>
                <w:rFonts w:ascii="仿宋_GB2312" w:hAnsi="仿宋_GB2312" w:cs="仿宋_GB2312" w:eastAsia="仿宋_GB2312"/>
              </w:rPr>
              <w:t>设备运输、安装、调试方案（包括但不限于进度安排及保障、人员配置、质量保障、开餐保障等）；方案内容完整无缺陷得10分，方案内容每存在1处缺陷扣1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质保期限</w:t>
            </w:r>
          </w:p>
        </w:tc>
        <w:tc>
          <w:tcPr>
            <w:tcW w:type="dxa" w:w="2492"/>
          </w:tcPr>
          <w:p>
            <w:pPr>
              <w:pStyle w:val="null3"/>
            </w:pPr>
            <w:r>
              <w:rPr>
                <w:rFonts w:ascii="仿宋_GB2312" w:hAnsi="仿宋_GB2312" w:cs="仿宋_GB2312" w:eastAsia="仿宋_GB2312"/>
              </w:rPr>
              <w:t>在本项目要求质保期基础上，每增加1年得2分，满分4分 备注：本项目质保期为所有软件系统及配套硬件免费质保期1年</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应急响应时间承诺</w:t>
            </w:r>
          </w:p>
        </w:tc>
        <w:tc>
          <w:tcPr>
            <w:tcW w:type="dxa" w:w="2492"/>
          </w:tcPr>
          <w:p>
            <w:pPr>
              <w:pStyle w:val="null3"/>
            </w:pPr>
            <w:r>
              <w:rPr>
                <w:rFonts w:ascii="仿宋_GB2312" w:hAnsi="仿宋_GB2312" w:cs="仿宋_GB2312" w:eastAsia="仿宋_GB2312"/>
              </w:rPr>
              <w:t>供应商承诺在24小时内达到现场得4分，在36小时内达到现场得2分，在48小时内达到现场得1分，其他不得分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运维服务方案</w:t>
            </w:r>
          </w:p>
        </w:tc>
        <w:tc>
          <w:tcPr>
            <w:tcW w:type="dxa" w:w="2492"/>
          </w:tcPr>
          <w:p>
            <w:pPr>
              <w:pStyle w:val="null3"/>
            </w:pPr>
            <w:r>
              <w:rPr>
                <w:rFonts w:ascii="仿宋_GB2312" w:hAnsi="仿宋_GB2312" w:cs="仿宋_GB2312" w:eastAsia="仿宋_GB2312"/>
              </w:rPr>
              <w:t>供应商运维服务方案（包括但不限于设备维系保养、远程技术支持、定期巡检、软件系统维护、现场技术支持等）。方案内容无缺陷得10分，方案内容每存在1处缺陷扣1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培训方案（包括但不限于课程定制、实操培训、师资团队、教材教具等）。方案内容无缺陷得7分，方案内容每存在1处缺陷扣0.5分，扣完为止；（本项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1.评审基准价：有效响应文件中最后报价并进行价格扣除后的最低报价为评审基准价。 2.供应商报价（进行价格扣除后的最后报价）得分：报价得分=（评审基准价／最后报价）×10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详见附件：首次磋商报价明细表.docx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ind w:firstLine="960"/>
      </w:pPr>
      <w:r>
        <w:rPr>
          <w:rFonts w:ascii="仿宋_GB2312" w:hAnsi="仿宋_GB2312" w:cs="仿宋_GB2312" w:eastAsia="仿宋_GB2312"/>
        </w:rPr>
        <w:t>详见附件：拒绝贿赂承诺书.docx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