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版本号：陕融招字-2025-0901号20250916001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自然力除盐微环境控制系统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陕融招字-2025-0901号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陕西思迈融工程建设项目管理有限公司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陕西思迈融工程建设项目管理有限公司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自然力除盐微环境控制系统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陕融招字-2025-0901号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自然力除盐微环境控制系统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理工大学自然力除盐微环境控制系统建设项目，要求建设安全、稳定、可靠的自然力除盐微环境控制系统。主要包括作物气候环境控制系统、水分蒸发循环控制系统、潜水蒸发水盐传输模拟系统等。本项目其功能为模拟与监测相对条件下土壤水盐气传输过程，实现对实验环境实时控制，防外界干扰辅助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采购包1（自然力除盐微环境控制系统）：属于专门面向中小企业采购。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财务状况报告：提供2024年度具有财务审计资质的单位出具的财务报告（成立时间至开标时间不足一年的可提供成立后任意时段的资产负债表）或基本存款账户开户银行出具的资信证明（附开户许可证或基本存款账户信息）或财政部门认可的政府采购专业担保机构出具的投标担保函</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陕西思迈融工程建设项目管理有限公司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陕西省西安市雁塔区南二环东段二环以南凯森盛世1号B座2606号房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惠旭泽、高雪娇、贾轩博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13186238483、029-82295130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开户名称：陕西思迈融工程建设项目管理有限公司</w:t>
            </w:r>
          </w:p>
          <w:p>
            <w:pPr>
              <w:pStyle w:val="null3"/>
            </w:pPr>
            <w:r>
              <w:rPr>
                <w:rFonts w:ascii="仿宋_GB2312" w:hAnsi="仿宋_GB2312" w:cs="仿宋_GB2312" w:eastAsia="仿宋_GB2312"/>
              </w:rPr>
              <w:t>开户银行：招商银行股份有限公司西安西影路支行</w:t>
            </w:r>
          </w:p>
          <w:p>
            <w:pPr>
              <w:pStyle w:val="null3"/>
            </w:pPr>
            <w:r>
              <w:rPr>
                <w:rFonts w:ascii="仿宋_GB2312" w:hAnsi="仿宋_GB2312" w:cs="仿宋_GB2312" w:eastAsia="仿宋_GB2312"/>
              </w:rPr>
              <w:t>银行账号：1299 0860 5410 801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代理服务费收费标准：代理项目金额80万元以下收取定额3000元。中标单位在领取中标通知书前，须向采购代理机构一次性支付招标代理服务费；代理服务费以转账、电汇或现金等形式交纳。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陕西思迈融工程建设项目管理有限公司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陕西思迈融工程建设项目管理有限公司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陕西思迈融工程建设项目管理有限公司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符合招标文件及采购人要求，符合合同约定。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联系人：惠旭泽、高雪娇、贾轩博</w:t>
      </w:r>
    </w:p>
    <w:p>
      <w:pPr>
        <w:pStyle w:val="null3"/>
      </w:pPr>
      <w:r>
        <w:rPr>
          <w:rFonts w:ascii="仿宋_GB2312" w:hAnsi="仿宋_GB2312" w:cs="仿宋_GB2312" w:eastAsia="仿宋_GB2312"/>
        </w:rPr>
        <w:t>联系电话：13186238483、029-82295130</w:t>
      </w:r>
    </w:p>
    <w:p>
      <w:pPr>
        <w:pStyle w:val="null3"/>
      </w:pPr>
      <w:r>
        <w:rPr>
          <w:rFonts w:ascii="仿宋_GB2312" w:hAnsi="仿宋_GB2312" w:cs="仿宋_GB2312" w:eastAsia="仿宋_GB2312"/>
        </w:rPr>
        <w:t>地址：陕西省西安市雁塔区南二环东段二环以南凯森盛世1号B座2606室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本项目为西安理工大学自然力除盐微环境控制系统建设项目，要求建设安全、稳定、可靠的自然力除盐微环境控制系统。主要包括作物气候环境控制系统、水分蒸发循环控制系统、潜水蒸发水盐传输模拟系统等。本项目其功能为模拟与监测相对条件下土壤水盐气传输过程，实现对实验环境实时控制，防外界干扰辅助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作物气候环境控制系统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水分蒸发循环控制系统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潜水蒸发水盐传输模拟系统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标的名称：作物气候环境控制系统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结构荷载指标：</w:t>
            </w:r>
          </w:p>
          <w:p>
            <w:pPr>
              <w:pStyle w:val="null3"/>
            </w:pPr>
            <w:r>
              <w:rPr>
                <w:rFonts w:ascii="仿宋_GB2312" w:hAnsi="仿宋_GB2312" w:cs="仿宋_GB2312" w:eastAsia="仿宋_GB2312"/>
              </w:rPr>
              <w:t>1.荷载要求：风荷载：≥0.66 kN/m²，雪荷载：≥0.30 kN/m²；</w:t>
            </w:r>
          </w:p>
          <w:p>
            <w:pPr>
              <w:pStyle w:val="null3"/>
            </w:pPr>
            <w:r>
              <w:rPr>
                <w:rFonts w:ascii="仿宋_GB2312" w:hAnsi="仿宋_GB2312" w:cs="仿宋_GB2312" w:eastAsia="仿宋_GB2312"/>
              </w:rPr>
              <w:t>2.排水能力：雨槽坡度≥2‰，排水速率≥0.5 L/s/m²</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主体材料规格：</w:t>
            </w:r>
          </w:p>
          <w:p>
            <w:pPr>
              <w:pStyle w:val="null3"/>
            </w:pPr>
            <w:r>
              <w:rPr>
                <w:rFonts w:ascii="仿宋_GB2312" w:hAnsi="仿宋_GB2312" w:cs="仿宋_GB2312" w:eastAsia="仿宋_GB2312"/>
              </w:rPr>
              <w:t>▲3.主体骨架：热镀锌钢材，厚度≥1.2mm，防腐等级符合GB/T 13912；</w:t>
            </w:r>
          </w:p>
          <w:p>
            <w:pPr>
              <w:pStyle w:val="null3"/>
            </w:pPr>
            <w:r>
              <w:rPr>
                <w:rFonts w:ascii="仿宋_GB2312" w:hAnsi="仿宋_GB2312" w:cs="仿宋_GB2312" w:eastAsia="仿宋_GB2312"/>
              </w:rPr>
              <w:t>▲4.覆盖材料：顶部及四周采用聚碳酸酯板或PO薄膜，透光率≥85%，厚度≥0.15mm，使用寿命≥5年；</w:t>
            </w:r>
          </w:p>
          <w:p>
            <w:pPr>
              <w:pStyle w:val="null3"/>
            </w:pPr>
            <w:r>
              <w:rPr>
                <w:rFonts w:ascii="仿宋_GB2312" w:hAnsi="仿宋_GB2312" w:cs="仿宋_GB2312" w:eastAsia="仿宋_GB2312"/>
              </w:rPr>
              <w:t>▲5.基础：混凝土浇筑深度≥0.8m，抗压强度≥C25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气候环境控制系统：</w:t>
            </w:r>
          </w:p>
          <w:p>
            <w:pPr>
              <w:pStyle w:val="null3"/>
            </w:pPr>
            <w:r>
              <w:rPr>
                <w:rFonts w:ascii="仿宋_GB2312" w:hAnsi="仿宋_GB2312" w:cs="仿宋_GB2312" w:eastAsia="仿宋_GB2312"/>
              </w:rPr>
              <w:t>6.通风系统：顶部及侧面电动卷膜，通风面积≥30%棚顶面积，风速控制在0.5~1.0m/s；</w:t>
            </w:r>
          </w:p>
          <w:p>
            <w:pPr>
              <w:pStyle w:val="null3"/>
            </w:pPr>
            <w:r>
              <w:rPr>
                <w:rFonts w:ascii="仿宋_GB2312" w:hAnsi="仿宋_GB2312" w:cs="仿宋_GB2312" w:eastAsia="仿宋_GB2312"/>
              </w:rPr>
              <w:t>7.遮阳系统：外遮阳网遮光率≥70%，内遮阳系统反射率≥50%，电动控制；</w:t>
            </w:r>
          </w:p>
          <w:p>
            <w:pPr>
              <w:pStyle w:val="null3"/>
            </w:pPr>
            <w:r>
              <w:rPr>
                <w:rFonts w:ascii="仿宋_GB2312" w:hAnsi="仿宋_GB2312" w:cs="仿宋_GB2312" w:eastAsia="仿宋_GB2312"/>
              </w:rPr>
              <w:t>8.降温系统：风机水帘，降温幅度≥8℃，噪声≤60dB 。</w:t>
            </w:r>
          </w:p>
        </w:tc>
      </w:tr>
    </w:tbl>
    <w:p>
      <w:pPr>
        <w:pStyle w:val="null3"/>
      </w:pPr>
      <w:r>
        <w:rPr>
          <w:rFonts w:ascii="仿宋_GB2312" w:hAnsi="仿宋_GB2312" w:cs="仿宋_GB2312" w:eastAsia="仿宋_GB2312"/>
        </w:rPr>
        <w:t>标的名称：水分蒸发循环控制系统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结构与防水荷载指标：</w:t>
            </w:r>
          </w:p>
          <w:p>
            <w:pPr>
              <w:pStyle w:val="null3"/>
            </w:pPr>
            <w:r>
              <w:rPr>
                <w:rFonts w:ascii="仿宋_GB2312" w:hAnsi="仿宋_GB2312" w:cs="仿宋_GB2312" w:eastAsia="仿宋_GB2312"/>
              </w:rPr>
              <w:t>1.防水性能：外壳防水等级IP65，渗漏率≤0.1%；</w:t>
            </w:r>
          </w:p>
          <w:p>
            <w:pPr>
              <w:pStyle w:val="null3"/>
            </w:pPr>
            <w:r>
              <w:rPr>
                <w:rFonts w:ascii="仿宋_GB2312" w:hAnsi="仿宋_GB2312" w:cs="仿宋_GB2312" w:eastAsia="仿宋_GB2312"/>
              </w:rPr>
              <w:t>2.荷载要求：风荷载≥0.55kN/m²，雪荷载≥0.25kN/m²，水分荷载（考虑蓄水）≥0.20 kN/m²；</w:t>
            </w:r>
          </w:p>
          <w:p>
            <w:pPr>
              <w:pStyle w:val="null3"/>
            </w:pPr>
            <w:r>
              <w:rPr>
                <w:rFonts w:ascii="仿宋_GB2312" w:hAnsi="仿宋_GB2312" w:cs="仿宋_GB2312" w:eastAsia="仿宋_GB2312"/>
              </w:rPr>
              <w:t>3.排水与收集：坡度≥3‰，收集效率≥95%，排水速率≥0.5L/s/m²。</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主体材料规格：</w:t>
            </w:r>
          </w:p>
          <w:p>
            <w:pPr>
              <w:pStyle w:val="null3"/>
            </w:pPr>
            <w:r>
              <w:rPr>
                <w:rFonts w:ascii="仿宋_GB2312" w:hAnsi="仿宋_GB2312" w:cs="仿宋_GB2312" w:eastAsia="仿宋_GB2312"/>
              </w:rPr>
              <w:t>▲4.骨架材料：热镀锌不锈钢，厚度≥1.5mm，防腐符合GB/T 2518；</w:t>
            </w:r>
          </w:p>
          <w:p>
            <w:pPr>
              <w:pStyle w:val="null3"/>
            </w:pPr>
            <w:r>
              <w:rPr>
                <w:rFonts w:ascii="仿宋_GB2312" w:hAnsi="仿宋_GB2312" w:cs="仿宋_GB2312" w:eastAsia="仿宋_GB2312"/>
              </w:rPr>
              <w:t>▲5.覆盖材料：高透光聚乙烯薄膜或玻璃，透光率≥80%，厚度≥0.20mm，雾滴涂层，使用寿命≥7年；</w:t>
            </w:r>
          </w:p>
          <w:p>
            <w:pPr>
              <w:pStyle w:val="null3"/>
            </w:pPr>
            <w:r>
              <w:rPr>
                <w:rFonts w:ascii="仿宋_GB2312" w:hAnsi="仿宋_GB2312" w:cs="仿宋_GB2312" w:eastAsia="仿宋_GB2312"/>
              </w:rPr>
              <w:t>▲6.基础：混凝土基础深度≥1.0m，抗压强度≥C30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水循环蒸发控制系统：</w:t>
            </w:r>
          </w:p>
          <w:p>
            <w:pPr>
              <w:pStyle w:val="null3"/>
            </w:pPr>
            <w:r>
              <w:rPr>
                <w:rFonts w:ascii="仿宋_GB2312" w:hAnsi="仿宋_GB2312" w:cs="仿宋_GB2312" w:eastAsia="仿宋_GB2312"/>
              </w:rPr>
              <w:t>7.蒸发控制：蒸腾率可调范围0.5-5.0L/m²/日，精度±0.2L/m²；</w:t>
            </w:r>
          </w:p>
          <w:p>
            <w:pPr>
              <w:pStyle w:val="null3"/>
            </w:pPr>
            <w:r>
              <w:rPr>
                <w:rFonts w:ascii="仿宋_GB2312" w:hAnsi="仿宋_GB2312" w:cs="仿宋_GB2312" w:eastAsia="仿宋_GB2312"/>
              </w:rPr>
              <w:t>8.冷凝回收：冷凝板或雾化器，回收率≥85%，水质pH 6.0-7.5；</w:t>
            </w:r>
          </w:p>
          <w:p>
            <w:pPr>
              <w:pStyle w:val="null3"/>
            </w:pPr>
            <w:r>
              <w:rPr>
                <w:rFonts w:ascii="仿宋_GB2312" w:hAnsi="仿宋_GB2312" w:cs="仿宋_GB2312" w:eastAsia="仿宋_GB2312"/>
              </w:rPr>
              <w:t>9.循环泵送：泵功率≥0.5kW，流量≥200 L/min，循环效率≥90%；</w:t>
            </w:r>
          </w:p>
          <w:p>
            <w:pPr>
              <w:pStyle w:val="null3"/>
            </w:pPr>
            <w:r>
              <w:rPr>
                <w:rFonts w:ascii="仿宋_GB2312" w:hAnsi="仿宋_GB2312" w:cs="仿宋_GB2312" w:eastAsia="仿宋_GB2312"/>
              </w:rPr>
              <w:t>10.湿度管理：相对湿度控制50%-90%，精度±3% 。</w:t>
            </w:r>
          </w:p>
        </w:tc>
      </w:tr>
    </w:tbl>
    <w:p>
      <w:pPr>
        <w:pStyle w:val="null3"/>
      </w:pPr>
      <w:r>
        <w:rPr>
          <w:rFonts w:ascii="仿宋_GB2312" w:hAnsi="仿宋_GB2312" w:cs="仿宋_GB2312" w:eastAsia="仿宋_GB2312"/>
        </w:rPr>
        <w:t>标的名称：潜水蒸发水盐传输模拟系统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▲补气箱材料规格：</w:t>
            </w:r>
          </w:p>
          <w:p>
            <w:pPr>
              <w:pStyle w:val="null3"/>
            </w:pPr>
            <w:r>
              <w:rPr>
                <w:rFonts w:ascii="仿宋_GB2312" w:hAnsi="仿宋_GB2312" w:cs="仿宋_GB2312" w:eastAsia="仿宋_GB2312"/>
              </w:rPr>
              <w:t>底板采用15mm厚透明有机玻璃板，后面板采用12mm厚透明有机玻璃板。箱体接缝处粘接20mm*20mm筋条，整体密封，不漏水。补气箱内埋有一根5mm厚DN110的有机玻璃暗管，暗管圆周7等分成梅花桩，钻直径10mm透水孔。</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b/>
              </w:rPr>
              <w:t>水盐箱材料规格：</w:t>
            </w:r>
          </w:p>
          <w:p>
            <w:pPr>
              <w:pStyle w:val="null3"/>
            </w:pPr>
            <w:r>
              <w:rPr>
                <w:rFonts w:ascii="仿宋_GB2312" w:hAnsi="仿宋_GB2312" w:cs="仿宋_GB2312" w:eastAsia="仿宋_GB2312"/>
              </w:rPr>
              <w:t>水盐箱包含供水箱及填土箱，底板均采用15mm厚透明有机玻璃板，后面板均采用10mm厚透明有机玻璃板。箱体接缝处粘接20mm*20mm筋条，整体密封，不漏水。填土箱内埋有两根5mm厚DN110的有机玻璃暗管，暗管圆周7等分成梅花桩，钻直径10mm透水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系统部署、调试、培训完成，能够正常使用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项目整体终验合格，出具验收报告后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交付前，供应商应对货物进行全面自检，符合交付条件后，由需求方按照招标文件及合同条款组织验收，项目验收分为初验和终验。各项验收由建设单位组织成立专门的验收小组，验收小组由学校相关部门以及邀请的技术专家组成。验收工作主要包括评定系统是否符合合同要求，进行验收评审及形成验收报告等内容。 初验：供应商以书面形式向建设单位提交《初验申请表》。 终验：初验合格后，系统运行5天后进行终验，终验需提交配套相关资料。（技术资料包括不限于说明书、测试报告、系统试运行报告、系统维护手册、用户操作手册等）。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质保期1年（自终验合格出具验收报告之日起算）。免费提供5*8小时技术支持服务，系统出现故障1小时内做出明确响应和安排，2小时内做出故障诊断报告，严重故障支持8小时内上门维护。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2.因本合同而发生的争议或纠纷，协商不成时可向甲方所在地的人民法院提起诉讼。 3.中标单位未按合同要求提供采购内容或质量不能满足技术要求，采购人会同监督机构、采购代理机构有权终止合同并对供方违约行为进行追究，同时按政府采购供应商管理办法进行相应的处罚。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1.项目整体超出质保期后，采购方如有维修需求，供应商应当提供上门维修服务，服务费以实际产生费用为准。 2.如因国家相关政策及法律法规更新、变化而需要进行系统调整升级等，供应商应免费进行上门服务。 3.供应商须承诺履行保密义务，在服务过程中提供应急支援保障服务。 4.供应商对所提供的货物应当享有合法的所有权，没有侵犯任何第三方的知识产权、技术秘密等权利，而且不存在任何抵押、留置、查封等产权瑕疵，如有相关侵权违规，由供应商全权处理，与采购方无关，且不能影响采购方正常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供应商资格要求格式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告（成立时间至开标时间不足一年的可提供成立后任意时段的资产负债表）或基本存款账户开户银行出具的资信证明（附开户许可证或基本存款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供应商资格要求格式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提供法定代表人/负责人授权书（附法定代表人/负责人、被授权人身份证复印件及被授权人近三个月社保缴纳证明。）（法定代表人/负责人直接参加投标，须提供法定代表人/负责人身份证明）</w:t>
            </w:r>
          </w:p>
        </w:tc>
        <w:tc>
          <w:tcPr>
            <w:tcW w:type="dxa" w:w="1661"/>
          </w:tcPr>
          <w:p>
            <w:pPr>
              <w:pStyle w:val="null3"/>
            </w:pPr>
            <w:r>
              <w:rPr>
                <w:rFonts w:ascii="仿宋_GB2312" w:hAnsi="仿宋_GB2312" w:cs="仿宋_GB2312" w:eastAsia="仿宋_GB2312"/>
              </w:rPr>
              <w:t>供应商资格要求格式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开标一览表 产品技术参数表 供应商认为有必要补充说明的事项 投标函 中小企业声明函 供应商资格要求格式 标的清单 投标文件封面 供应商承诺书 商务条款偏离表 近年业绩的有关证明材料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是否出现负偏离</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相关的技术、功能证明材料（包括但不限于论证报告、官网和功能截图、产品彩页、检测报告等）予以佐证技术参数响应情况。完全符合、响应招标文件要求，没有负偏离的得50分；参数中带“▲”号项（8项，32分）每有一项负偏离扣4分，扣完为止；参数中非“▲”号项（12项，18分）每有一项负偏离扣1.5分，扣完为止。</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项目组织实施方案</w:t>
            </w:r>
          </w:p>
        </w:tc>
        <w:tc>
          <w:tcPr>
            <w:tcW w:type="dxa" w:w="2492"/>
          </w:tcPr>
          <w:p>
            <w:pPr>
              <w:pStyle w:val="null3"/>
            </w:pPr>
            <w:r>
              <w:rPr>
                <w:rFonts w:ascii="仿宋_GB2312" w:hAnsi="仿宋_GB2312" w:cs="仿宋_GB2312" w:eastAsia="仿宋_GB2312"/>
              </w:rPr>
              <w:t>针对本项目有具体的组织安排，详细可行的技术指导方案，时间进度安排合理，可按期供货，有明确的质量控制目标、应急保证措施、人员安排等。 （1）方案详细全面，科学合理，可行性强，得4分； （2）方案较完整、合理，可行性较强，得3分； （3）方案内容简单、可行性一般，得2分； （4）方案内容偏离采购要求，可行性差，得1分； （5）未提供方案的，得0分。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售后质保</w:t>
            </w:r>
          </w:p>
        </w:tc>
        <w:tc>
          <w:tcPr>
            <w:tcW w:type="dxa" w:w="2492"/>
          </w:tcPr>
          <w:p>
            <w:pPr>
              <w:pStyle w:val="null3"/>
            </w:pPr>
            <w:r>
              <w:rPr>
                <w:rFonts w:ascii="仿宋_GB2312" w:hAnsi="仿宋_GB2312" w:cs="仿宋_GB2312" w:eastAsia="仿宋_GB2312"/>
              </w:rPr>
              <w:t>根据对商务要求的（质保期、付款方式等）的响应程度赋值0-4分。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提供详细完善的售后服务方案，售后服务承诺详细具体，有针对性。售后服务问题能及时处理。提供本地化服务，响应到场时效优，并常驻有售后服务人员（须提供相关证明材料）。 （1）售后服务方案全面，内容详细具体，可行性强，得4分； （2）售后服务方案较完整、合理，可行性较强，得3分； （3）售后服务方案内容简单，可行性一般，得2分； （4）售后服务内容偏离采购要求，可行性差，得1分； （5）未提供方案的，得0分。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提供技术培训方案，有详细的培训计划和交付用户使用后出现故障能提供应急备用设备并立即解决问题的承诺。 （1）内容详细全面，科学合理，可行性强，得4分； （2）内容较完整、合理，可行性较强，得3分； （3）内容简单，可行性一般，得2分； （4）方案内容偏离采购要求，可行性差，得1分； （5）未提供得0分。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提供2020年1月1日至今同类业绩的，每提供1个得2分，最高得4分。未提供不得分。 （提供业绩合同复印件加盖公章，时间以合同签订时间为准）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2、有效最低报价为基准价得30分。 3、按（评标基准价/评审 价格）×30的公式计算报价得分。 4、投标报价不完整的，不进入评标基准价的计算，本项得0分。 备注：本项目专门面向中小企业采购，不再进行政策性扣减。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详见附件：供应商资格要求格式</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