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版本号：SXYZ2025ZB-SJK-0712.1B120250912001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全自动结核及耐药分子检测设备、细菌分散计数仪采购(二次)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SXYZ2025ZB-SJK-0712.1B1</w:t>
      </w:r>
      <w:r>
        <w:br/>
      </w:r>
      <w:r>
        <w:br/>
      </w:r>
      <w:r>
        <w:br/>
      </w:r>
    </w:p>
    <w:p>
      <w:pPr>
        <w:pStyle w:val="null3"/>
        <w:jc w:val="center"/>
        <w:outlineLvl w:val="2"/>
      </w:pPr>
      <w:r>
        <w:rPr>
          <w:rFonts w:ascii="仿宋_GB2312" w:hAnsi="仿宋_GB2312" w:cs="仿宋_GB2312" w:eastAsia="仿宋_GB2312"/>
          <w:sz w:val="28"/>
          <w:b/>
        </w:rPr>
        <w:t>陕西省结核病防治研究所</w:t>
      </w:r>
    </w:p>
    <w:p>
      <w:pPr>
        <w:pStyle w:val="null3"/>
        <w:jc w:val="center"/>
        <w:outlineLvl w:val="2"/>
      </w:pPr>
      <w:r>
        <w:rPr>
          <w:rFonts w:ascii="仿宋_GB2312" w:hAnsi="仿宋_GB2312" w:cs="仿宋_GB2312" w:eastAsia="仿宋_GB2312"/>
          <w:sz w:val="28"/>
          <w:b/>
        </w:rPr>
        <w:t>陕西宇正招标有限公司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陕西宇正招标有限公司</w:t>
      </w:r>
      <w:r>
        <w:rPr>
          <w:rFonts w:ascii="仿宋_GB2312" w:hAnsi="仿宋_GB2312" w:cs="仿宋_GB2312" w:eastAsia="仿宋_GB2312"/>
        </w:rPr>
        <w:t>（以下简称“代理机构”）受</w:t>
      </w:r>
      <w:r>
        <w:rPr>
          <w:rFonts w:ascii="仿宋_GB2312" w:hAnsi="仿宋_GB2312" w:cs="仿宋_GB2312" w:eastAsia="仿宋_GB2312"/>
        </w:rPr>
        <w:t>陕西省结核病防治研究所</w:t>
      </w:r>
      <w:r>
        <w:rPr>
          <w:rFonts w:ascii="仿宋_GB2312" w:hAnsi="仿宋_GB2312" w:cs="仿宋_GB2312" w:eastAsia="仿宋_GB2312"/>
        </w:rPr>
        <w:t>委托，拟对</w:t>
      </w:r>
      <w:r>
        <w:rPr>
          <w:rFonts w:ascii="仿宋_GB2312" w:hAnsi="仿宋_GB2312" w:cs="仿宋_GB2312" w:eastAsia="仿宋_GB2312"/>
        </w:rPr>
        <w:t>全自动结核及耐药分子检测设备、细菌分散计数仪采购(二次)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SXYZ2025ZB-SJK-0712.1B1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全自动结核及耐药分子检测设备、细菌分散计数仪采购(二次)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陕西省结核病防治研究所（现陕西省疾病预防控制中心）全自动结核及耐药分子检测设备、细菌分散计数仪采购项目（二次），共分1个包，合同包1：全自动结核及耐药分子检测设备；具体内容详见采购文件。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1、授权代表：法定代表人参加投标的，须提交法定代表人身份证明及身份证；法定代表人授权他人参加投标的，须提交法定代表人授权委托书及被授权人身份证。</w:t>
      </w:r>
    </w:p>
    <w:p>
      <w:pPr>
        <w:pStyle w:val="null3"/>
      </w:pPr>
      <w:r>
        <w:rPr>
          <w:rFonts w:ascii="仿宋_GB2312" w:hAnsi="仿宋_GB2312" w:cs="仿宋_GB2312" w:eastAsia="仿宋_GB2312"/>
        </w:rPr>
        <w:t>2、本项目不接受联合体投标：投标供应商应提供《非联合体不分包投标声明 》。</w:t>
      </w:r>
    </w:p>
    <w:p>
      <w:pPr>
        <w:pStyle w:val="null3"/>
      </w:pPr>
      <w:r>
        <w:rPr>
          <w:rFonts w:ascii="仿宋_GB2312" w:hAnsi="仿宋_GB2312" w:cs="仿宋_GB2312" w:eastAsia="仿宋_GB2312"/>
        </w:rPr>
        <w:t>3、企业信用查询：资格审查时，供应商未被列入失信被执行人、重大税收违法失信主体名单、政府采购严重违法失信行为记录名单。</w:t>
      </w:r>
    </w:p>
    <w:p>
      <w:pPr>
        <w:pStyle w:val="null3"/>
      </w:pPr>
      <w:r>
        <w:rPr>
          <w:rFonts w:ascii="仿宋_GB2312" w:hAnsi="仿宋_GB2312" w:cs="仿宋_GB2312" w:eastAsia="仿宋_GB2312"/>
        </w:rPr>
        <w:t>4、专业资质：代理商参加投标的须提供投标人的《医疗器械经营许可证》及生产厂家的《医疗器械生产许可证》、所投设备及配套结核及耐药试剂的《医疗器械注册证》；制造商参加投标的须提供投标人的《医疗器械生产许可证》、《医疗器械经营许可证》、所投设备及配套结核及耐药试剂的《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陕西省结核病防治研究所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陕西省碑林区和平门外建东街3号(现陕西省疾病预防控制中心）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029-82476605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陕西宇正招标有限公司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西安市新城区长乐西路华东万悦城 2 号写字楼 22 层 2207、2208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常红、魏洁、王静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029-88611613、029-82282801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开户名称：中国银行股份有限公司西安西关支行</w:t>
            </w:r>
          </w:p>
          <w:p>
            <w:pPr>
              <w:pStyle w:val="null3"/>
            </w:pPr>
            <w:r>
              <w:rPr>
                <w:rFonts w:ascii="仿宋_GB2312" w:hAnsi="仿宋_GB2312" w:cs="仿宋_GB2312" w:eastAsia="仿宋_GB2312"/>
              </w:rPr>
              <w:t>开户银行：陕西宇正招标有限公司</w:t>
            </w:r>
          </w:p>
          <w:p>
            <w:pPr>
              <w:pStyle w:val="null3"/>
            </w:pPr>
            <w:r>
              <w:rPr>
                <w:rFonts w:ascii="仿宋_GB2312" w:hAnsi="仿宋_GB2312" w:cs="仿宋_GB2312" w:eastAsia="仿宋_GB2312"/>
              </w:rPr>
              <w:t>银行账号：102471229441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颁发的《招标代理服务收费管理暂行办法》（计价格[2002]1980号）和国家发展改革委员会办公厅颁发的《关于招标代理服务收费有关问题的通知》（发改办价格[2003]857号）文规定的“货物”收费标准收取。2、支付方式：中标人应在领取通知书的同时，一次性支付本项目代理服务费。收款账户如下： 收款单位：陕西宇正招标有限公司；开户银行：中国银行股份有限公司西安西关支行；银行账号：102471229441。 3、转账时需备注：SXYZ2025ZB-SJK-0712.1B1项目服务费。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陕西省结核病防治研究所</w:t>
      </w:r>
      <w:r>
        <w:rPr>
          <w:rFonts w:ascii="仿宋_GB2312" w:hAnsi="仿宋_GB2312" w:cs="仿宋_GB2312" w:eastAsia="仿宋_GB2312"/>
        </w:rPr>
        <w:t>和</w:t>
      </w:r>
      <w:r>
        <w:rPr>
          <w:rFonts w:ascii="仿宋_GB2312" w:hAnsi="仿宋_GB2312" w:cs="仿宋_GB2312" w:eastAsia="仿宋_GB2312"/>
        </w:rPr>
        <w:t>陕西宇正招标有限公司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陕西省结核病防治研究所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陕西宇正招标有限公司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陕西省结核病防治研究所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陕西宇正招标有限公司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联系人：常红</w:t>
      </w:r>
    </w:p>
    <w:p>
      <w:pPr>
        <w:pStyle w:val="null3"/>
      </w:pPr>
      <w:r>
        <w:rPr>
          <w:rFonts w:ascii="仿宋_GB2312" w:hAnsi="仿宋_GB2312" w:cs="仿宋_GB2312" w:eastAsia="仿宋_GB2312"/>
        </w:rPr>
        <w:t>联系电话：029-88611613</w:t>
      </w:r>
    </w:p>
    <w:p>
      <w:pPr>
        <w:pStyle w:val="null3"/>
      </w:pPr>
      <w:r>
        <w:rPr>
          <w:rFonts w:ascii="仿宋_GB2312" w:hAnsi="仿宋_GB2312" w:cs="仿宋_GB2312" w:eastAsia="仿宋_GB2312"/>
        </w:rPr>
        <w:t>地址：西安市新城区长乐西路华东万悦城2号写字楼22层2207室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陕西省结核病防治研究所（现陕西省疾病预防控制中心）全自动结核及耐药分子检测设备，合同包1：全自动结核及耐药分子检测设备；具体内容详见采购文件。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全自动结核及耐药分子检测设备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标的名称：全自动结核及耐药分子检测设备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一、功能要求：</w:t>
            </w:r>
          </w:p>
          <w:p>
            <w:pPr>
              <w:pStyle w:val="null3"/>
            </w:pPr>
            <w:r>
              <w:rPr>
                <w:rFonts w:ascii="仿宋_GB2312" w:hAnsi="仿宋_GB2312" w:cs="仿宋_GB2312" w:eastAsia="仿宋_GB2312"/>
              </w:rPr>
              <w:t xml:space="preserve">   结核及耐药快速分子检测系统，匹配结核分枝杆菌和利福平耐药检测等试剂盒，快速鉴别结核分枝杆菌及利福平耐药基因突变，主要应用于结核及耐药病原学检测、传染病控制、院内感染控制等领域。</w:t>
            </w:r>
          </w:p>
          <w:p>
            <w:pPr>
              <w:pStyle w:val="null3"/>
            </w:pPr>
            <w:r>
              <w:rPr>
                <w:rFonts w:ascii="仿宋_GB2312" w:hAnsi="仿宋_GB2312" w:cs="仿宋_GB2312" w:eastAsia="仿宋_GB2312"/>
              </w:rPr>
              <w:t>二、设备</w:t>
            </w:r>
            <w:r>
              <w:rPr>
                <w:rFonts w:ascii="仿宋_GB2312" w:hAnsi="仿宋_GB2312" w:cs="仿宋_GB2312" w:eastAsia="仿宋_GB2312"/>
              </w:rPr>
              <w:t>配置清单</w:t>
            </w:r>
            <w:r>
              <w:rPr>
                <w:rFonts w:ascii="仿宋_GB2312" w:hAnsi="仿宋_GB2312" w:cs="仿宋_GB2312" w:eastAsia="仿宋_GB2312"/>
              </w:rPr>
              <w:t>：</w:t>
            </w:r>
          </w:p>
          <w:tbl>
            <w:tblPr>
              <w:tblBorders>
                <w:top w:val="none" w:color="000000" w:sz="4"/>
                <w:left w:val="none" w:color="000000" w:sz="4"/>
                <w:bottom w:val="none" w:color="000000" w:sz="4"/>
                <w:right w:val="none" w:color="000000" w:sz="4"/>
                <w:insideH w:val="none"/>
                <w:insideV w:val="none"/>
              </w:tblBorders>
            </w:tblPr>
            <w:tblGrid>
              <w:gridCol w:w="202"/>
              <w:gridCol w:w="2063"/>
              <w:gridCol w:w="917"/>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w:t>
                  </w:r>
                </w:p>
              </w:tc>
              <w:tc>
                <w:tcPr>
                  <w:tcW w:type="dxa" w:w="9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结核耐药</w:t>
                  </w:r>
                  <w:r>
                    <w:rPr>
                      <w:rFonts w:ascii="仿宋_GB2312" w:hAnsi="仿宋_GB2312" w:cs="仿宋_GB2312" w:eastAsia="仿宋_GB2312"/>
                      <w:sz w:val="19"/>
                    </w:rPr>
                    <w:t>分子生物学检测设备</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r>
                    <w:rPr>
                      <w:rFonts w:ascii="仿宋_GB2312" w:hAnsi="仿宋_GB2312" w:cs="仿宋_GB2312" w:eastAsia="仿宋_GB2312"/>
                      <w:sz w:val="19"/>
                    </w:rPr>
                    <w:t>台</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UPS</w:t>
                  </w:r>
                  <w:r>
                    <w:rPr>
                      <w:rFonts w:ascii="仿宋_GB2312" w:hAnsi="仿宋_GB2312" w:cs="仿宋_GB2312" w:eastAsia="仿宋_GB2312"/>
                      <w:sz w:val="19"/>
                    </w:rPr>
                    <w:t>稳压电源</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r>
                    <w:rPr>
                      <w:rFonts w:ascii="仿宋_GB2312" w:hAnsi="仿宋_GB2312" w:cs="仿宋_GB2312" w:eastAsia="仿宋_GB2312"/>
                      <w:sz w:val="19"/>
                    </w:rPr>
                    <w:t>台</w:t>
                  </w:r>
                </w:p>
              </w:tc>
            </w:tr>
          </w:tbl>
          <w:p>
            <w:pPr>
              <w:pStyle w:val="null3"/>
            </w:pPr>
            <w:r>
              <w:rPr>
                <w:rFonts w:ascii="仿宋_GB2312" w:hAnsi="仿宋_GB2312" w:cs="仿宋_GB2312" w:eastAsia="仿宋_GB2312"/>
              </w:rPr>
              <w:t>三、技术参数</w:t>
            </w:r>
          </w:p>
          <w:tbl>
            <w:tblPr>
              <w:tblBorders>
                <w:top w:val="none" w:color="000000" w:sz="4"/>
                <w:left w:val="none" w:color="000000" w:sz="4"/>
                <w:bottom w:val="none" w:color="000000" w:sz="4"/>
                <w:right w:val="none" w:color="000000" w:sz="4"/>
                <w:insideH w:val="none"/>
                <w:insideV w:val="none"/>
              </w:tblBorders>
            </w:tblPr>
            <w:tblGrid>
              <w:gridCol w:w="202"/>
              <w:gridCol w:w="2980"/>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核酸扩增方法</w:t>
                  </w:r>
                  <w:r>
                    <w:rPr>
                      <w:rFonts w:ascii="仿宋_GB2312" w:hAnsi="仿宋_GB2312" w:cs="仿宋_GB2312" w:eastAsia="仿宋_GB2312"/>
                      <w:sz w:val="19"/>
                    </w:rPr>
                    <w:t>：</w:t>
                  </w:r>
                  <w:r>
                    <w:rPr>
                      <w:rFonts w:ascii="仿宋_GB2312" w:hAnsi="仿宋_GB2312" w:cs="仿宋_GB2312" w:eastAsia="仿宋_GB2312"/>
                      <w:sz w:val="19"/>
                    </w:rPr>
                    <w:t>全自动实时聚合酶链式反应</w:t>
                  </w:r>
                  <w:r>
                    <w:rPr>
                      <w:rFonts w:ascii="仿宋_GB2312" w:hAnsi="仿宋_GB2312" w:cs="仿宋_GB2312" w:eastAsia="仿宋_GB2312"/>
                      <w:sz w:val="19"/>
                    </w:rPr>
                    <w:t>(PCR)</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全自动检测</w:t>
                  </w:r>
                  <w:r>
                    <w:rPr>
                      <w:rFonts w:ascii="仿宋_GB2312" w:hAnsi="仿宋_GB2312" w:cs="仿宋_GB2312" w:eastAsia="仿宋_GB2312"/>
                      <w:sz w:val="19"/>
                    </w:rPr>
                    <w:t>：</w:t>
                  </w:r>
                  <w:r>
                    <w:rPr>
                      <w:rFonts w:ascii="仿宋_GB2312" w:hAnsi="仿宋_GB2312" w:cs="仿宋_GB2312" w:eastAsia="仿宋_GB2312"/>
                      <w:sz w:val="19"/>
                    </w:rPr>
                    <w:t>该设备包含样本的核酸提取、体系构建、扩增、分析检测的功能，全流程自动化，自动获得最终结果，过程无需人工操作。</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主要用途性能</w:t>
                  </w:r>
                  <w:r>
                    <w:rPr>
                      <w:rFonts w:ascii="仿宋_GB2312" w:hAnsi="仿宋_GB2312" w:cs="仿宋_GB2312" w:eastAsia="仿宋_GB2312"/>
                      <w:sz w:val="19"/>
                    </w:rPr>
                    <w:t>：</w:t>
                  </w:r>
                  <w:r>
                    <w:rPr>
                      <w:rFonts w:ascii="仿宋_GB2312" w:hAnsi="仿宋_GB2312" w:cs="仿宋_GB2312" w:eastAsia="仿宋_GB2312"/>
                      <w:sz w:val="19"/>
                    </w:rPr>
                    <w:t>快速鉴别结核分枝杆菌及利福平耐药基因。</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核酸自动提取方法</w:t>
                  </w:r>
                  <w:r>
                    <w:rPr>
                      <w:rFonts w:ascii="仿宋_GB2312" w:hAnsi="仿宋_GB2312" w:cs="仿宋_GB2312" w:eastAsia="仿宋_GB2312"/>
                      <w:sz w:val="19"/>
                    </w:rPr>
                    <w:t>：</w:t>
                  </w:r>
                  <w:r>
                    <w:rPr>
                      <w:rFonts w:ascii="仿宋_GB2312" w:hAnsi="仿宋_GB2312" w:cs="仿宋_GB2312" w:eastAsia="仿宋_GB2312"/>
                      <w:sz w:val="19"/>
                    </w:rPr>
                    <w:t>需对样本进行超声裂解处理。</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检测光源</w:t>
                  </w:r>
                  <w:r>
                    <w:rPr>
                      <w:rFonts w:ascii="仿宋_GB2312" w:hAnsi="仿宋_GB2312" w:cs="仿宋_GB2312" w:eastAsia="仿宋_GB2312"/>
                      <w:sz w:val="19"/>
                    </w:rPr>
                    <w:t>：</w:t>
                  </w:r>
                  <w:r>
                    <w:rPr>
                      <w:rFonts w:ascii="仿宋_GB2312" w:hAnsi="仿宋_GB2312" w:cs="仿宋_GB2312" w:eastAsia="仿宋_GB2312"/>
                      <w:sz w:val="19"/>
                    </w:rPr>
                    <w:t>单色</w:t>
                  </w:r>
                  <w:r>
                    <w:rPr>
                      <w:rFonts w:ascii="仿宋_GB2312" w:hAnsi="仿宋_GB2312" w:cs="仿宋_GB2312" w:eastAsia="仿宋_GB2312"/>
                      <w:sz w:val="19"/>
                    </w:rPr>
                    <w:t>LED,</w:t>
                  </w:r>
                  <w:r>
                    <w:rPr>
                      <w:rFonts w:ascii="仿宋_GB2312" w:hAnsi="仿宋_GB2312" w:cs="仿宋_GB2312" w:eastAsia="仿宋_GB2312"/>
                      <w:sz w:val="19"/>
                    </w:rPr>
                    <w:t>光谱窄，纯度高，更适合高精度检测（提供仪器说明书）。</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光学通道特性</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色荧光信号激发及检测。</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7</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仪器灵活性</w:t>
                  </w:r>
                  <w:r>
                    <w:rPr>
                      <w:rFonts w:ascii="仿宋_GB2312" w:hAnsi="仿宋_GB2312" w:cs="仿宋_GB2312" w:eastAsia="仿宋_GB2312"/>
                      <w:sz w:val="19"/>
                    </w:rPr>
                    <w:t>：</w:t>
                  </w:r>
                  <w:r>
                    <w:rPr>
                      <w:rFonts w:ascii="仿宋_GB2312" w:hAnsi="仿宋_GB2312" w:cs="仿宋_GB2312" w:eastAsia="仿宋_GB2312"/>
                      <w:sz w:val="19"/>
                    </w:rPr>
                    <w:t>设备具备独立模块数</w:t>
                  </w: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，具备不同检测项目随到随检功能。</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扩增信号检测方式</w:t>
                  </w:r>
                  <w:r>
                    <w:rPr>
                      <w:rFonts w:ascii="仿宋_GB2312" w:hAnsi="仿宋_GB2312" w:cs="仿宋_GB2312" w:eastAsia="仿宋_GB2312"/>
                      <w:sz w:val="19"/>
                    </w:rPr>
                    <w:t>：</w:t>
                  </w:r>
                  <w:r>
                    <w:rPr>
                      <w:rFonts w:ascii="仿宋_GB2312" w:hAnsi="仿宋_GB2312" w:cs="仿宋_GB2312" w:eastAsia="仿宋_GB2312"/>
                      <w:sz w:val="19"/>
                    </w:rPr>
                    <w:t>独立模块内各样本荧光信号独立检测，而非批量同时检测，防止样本之间的信号干扰（提供仪器说明书）。</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9</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检测时间</w:t>
                  </w:r>
                  <w:r>
                    <w:rPr>
                      <w:rFonts w:ascii="仿宋_GB2312" w:hAnsi="仿宋_GB2312" w:cs="仿宋_GB2312" w:eastAsia="仿宋_GB2312"/>
                      <w:sz w:val="19"/>
                    </w:rPr>
                    <w:t>：</w:t>
                  </w:r>
                  <w:r>
                    <w:rPr>
                      <w:rFonts w:ascii="仿宋_GB2312" w:hAnsi="仿宋_GB2312" w:cs="仿宋_GB2312" w:eastAsia="仿宋_GB2312"/>
                      <w:sz w:val="19"/>
                    </w:rPr>
                    <w:t>上机后经核酸提取、扩增、分析到获得结核鉴定及利福平耐药检测结果时间</w:t>
                  </w:r>
                  <w:r>
                    <w:rPr>
                      <w:rFonts w:ascii="仿宋_GB2312" w:hAnsi="仿宋_GB2312" w:cs="仿宋_GB2312" w:eastAsia="仿宋_GB2312"/>
                      <w:sz w:val="19"/>
                    </w:rPr>
                    <w:t>≤</w:t>
                  </w:r>
                  <w:r>
                    <w:rPr>
                      <w:rFonts w:ascii="仿宋_GB2312" w:hAnsi="仿宋_GB2312" w:cs="仿宋_GB2312" w:eastAsia="仿宋_GB2312"/>
                      <w:sz w:val="19"/>
                    </w:rPr>
                    <w:t>150</w:t>
                  </w:r>
                  <w:r>
                    <w:rPr>
                      <w:rFonts w:ascii="仿宋_GB2312" w:hAnsi="仿宋_GB2312" w:cs="仿宋_GB2312" w:eastAsia="仿宋_GB2312"/>
                      <w:sz w:val="19"/>
                    </w:rPr>
                    <w:t>分钟。</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10</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结核分枝杆菌最低检出限</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20CFU/ml</w:t>
                  </w:r>
                  <w:r>
                    <w:rPr>
                      <w:rFonts w:ascii="仿宋_GB2312" w:hAnsi="仿宋_GB2312" w:cs="仿宋_GB2312" w:eastAsia="仿宋_GB2312"/>
                      <w:sz w:val="19"/>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11</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耐药检测方法学</w:t>
                  </w:r>
                  <w:r>
                    <w:rPr>
                      <w:rFonts w:ascii="仿宋_GB2312" w:hAnsi="仿宋_GB2312" w:cs="仿宋_GB2312" w:eastAsia="仿宋_GB2312"/>
                      <w:sz w:val="19"/>
                    </w:rPr>
                    <w:t>：</w:t>
                  </w:r>
                  <w:r>
                    <w:rPr>
                      <w:rFonts w:ascii="仿宋_GB2312" w:hAnsi="仿宋_GB2312" w:cs="仿宋_GB2312" w:eastAsia="仿宋_GB2312"/>
                      <w:sz w:val="19"/>
                    </w:rPr>
                    <w:t>采用熔解曲线法进行利福平耐药基因的检测（提供试剂盒说明书）。</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利福平最低检出限</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2000CFU/ml.</w:t>
                  </w:r>
                  <w:r>
                    <w:rPr>
                      <w:rFonts w:ascii="仿宋_GB2312" w:hAnsi="仿宋_GB2312" w:cs="仿宋_GB2312" w:eastAsia="仿宋_GB2312"/>
                      <w:sz w:val="19"/>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样本前处理程序</w:t>
                  </w:r>
                  <w:r>
                    <w:rPr>
                      <w:rFonts w:ascii="仿宋_GB2312" w:hAnsi="仿宋_GB2312" w:cs="仿宋_GB2312" w:eastAsia="仿宋_GB2312"/>
                      <w:sz w:val="19"/>
                    </w:rPr>
                    <w:t>：</w:t>
                  </w:r>
                  <w:r>
                    <w:rPr>
                      <w:rFonts w:ascii="仿宋_GB2312" w:hAnsi="仿宋_GB2312" w:cs="仿宋_GB2312" w:eastAsia="仿宋_GB2312"/>
                      <w:sz w:val="19"/>
                    </w:rPr>
                    <w:t>一步法液化前处理操作步骤，加样到试剂盒中后上机进行全自动检测分析，样本前处理区与扩增区可实现隔离，避免气溶胶污染。</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多功能平台：可支持多病种同检能力拓展。</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模块控温精度</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0.5</w:t>
                  </w:r>
                  <w:r>
                    <w:rPr>
                      <w:rFonts w:ascii="仿宋_GB2312" w:hAnsi="仿宋_GB2312" w:cs="仿宋_GB2312" w:eastAsia="仿宋_GB2312"/>
                      <w:sz w:val="19"/>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最大升温速率</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℃/s</w:t>
                  </w:r>
                  <w:r>
                    <w:rPr>
                      <w:rFonts w:ascii="仿宋_GB2312" w:hAnsi="仿宋_GB2312" w:cs="仿宋_GB2312" w:eastAsia="仿宋_GB2312"/>
                      <w:sz w:val="19"/>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最大降温速率</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3.5</w:t>
                  </w:r>
                  <w:r>
                    <w:rPr>
                      <w:rFonts w:ascii="仿宋_GB2312" w:hAnsi="仿宋_GB2312" w:cs="仿宋_GB2312" w:eastAsia="仿宋_GB2312"/>
                      <w:sz w:val="19"/>
                    </w:rPr>
                    <w:t>℃</w:t>
                  </w:r>
                  <w:r>
                    <w:rPr>
                      <w:rFonts w:ascii="仿宋_GB2312" w:hAnsi="仿宋_GB2312" w:cs="仿宋_GB2312" w:eastAsia="仿宋_GB2312"/>
                      <w:sz w:val="19"/>
                    </w:rPr>
                    <w:t>/s</w:t>
                  </w:r>
                  <w:r>
                    <w:rPr>
                      <w:rFonts w:ascii="仿宋_GB2312" w:hAnsi="仿宋_GB2312" w:cs="仿宋_GB2312" w:eastAsia="仿宋_GB2312"/>
                      <w:sz w:val="19"/>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18</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样本检测通量</w:t>
                  </w:r>
                  <w:r>
                    <w:rPr>
                      <w:rFonts w:ascii="仿宋_GB2312" w:hAnsi="仿宋_GB2312" w:cs="仿宋_GB2312" w:eastAsia="仿宋_GB2312"/>
                      <w:sz w:val="19"/>
                    </w:rPr>
                    <w:t>：</w:t>
                  </w:r>
                  <w:r>
                    <w:rPr>
                      <w:rFonts w:ascii="仿宋_GB2312" w:hAnsi="仿宋_GB2312" w:cs="仿宋_GB2312" w:eastAsia="仿宋_GB2312"/>
                      <w:sz w:val="19"/>
                    </w:rPr>
                    <w:t>单台设备（一体机、非矩阵级联）可同时检测</w:t>
                  </w:r>
                  <w:r>
                    <w:rPr>
                      <w:rFonts w:ascii="仿宋_GB2312" w:hAnsi="仿宋_GB2312" w:cs="仿宋_GB2312" w:eastAsia="仿宋_GB2312"/>
                      <w:sz w:val="19"/>
                    </w:rPr>
                    <w:t>≥</w:t>
                  </w:r>
                  <w:r>
                    <w:rPr>
                      <w:rFonts w:ascii="仿宋_GB2312" w:hAnsi="仿宋_GB2312" w:cs="仿宋_GB2312" w:eastAsia="仿宋_GB2312"/>
                      <w:sz w:val="19"/>
                    </w:rPr>
                    <w:t>8</w:t>
                  </w:r>
                  <w:r>
                    <w:rPr>
                      <w:rFonts w:ascii="仿宋_GB2312" w:hAnsi="仿宋_GB2312" w:cs="仿宋_GB2312" w:eastAsia="仿宋_GB2312"/>
                      <w:sz w:val="19"/>
                    </w:rPr>
                    <w:t>个样本。</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19</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设备体积：</w:t>
                  </w:r>
                  <w:r>
                    <w:rPr>
                      <w:rFonts w:ascii="仿宋_GB2312" w:hAnsi="仿宋_GB2312" w:cs="仿宋_GB2312" w:eastAsia="仿宋_GB2312"/>
                      <w:sz w:val="19"/>
                    </w:rPr>
                    <w:t>设备体积</w:t>
                  </w:r>
                  <w:r>
                    <w:rPr>
                      <w:rFonts w:ascii="仿宋_GB2312" w:hAnsi="仿宋_GB2312" w:cs="仿宋_GB2312" w:eastAsia="仿宋_GB2312"/>
                      <w:sz w:val="19"/>
                    </w:rPr>
                    <w:t>≤</w:t>
                  </w:r>
                  <w:r>
                    <w:rPr>
                      <w:rFonts w:ascii="仿宋_GB2312" w:hAnsi="仿宋_GB2312" w:cs="仿宋_GB2312" w:eastAsia="仿宋_GB2312"/>
                      <w:sz w:val="19"/>
                    </w:rPr>
                    <w:t>1000 mm</w:t>
                  </w:r>
                  <w:r>
                    <w:rPr>
                      <w:rFonts w:ascii="仿宋_GB2312" w:hAnsi="仿宋_GB2312" w:cs="仿宋_GB2312" w:eastAsia="仿宋_GB2312"/>
                      <w:sz w:val="19"/>
                    </w:rPr>
                    <w:t>×</w:t>
                  </w:r>
                  <w:r>
                    <w:rPr>
                      <w:rFonts w:ascii="仿宋_GB2312" w:hAnsi="仿宋_GB2312" w:cs="仿宋_GB2312" w:eastAsia="仿宋_GB2312"/>
                      <w:sz w:val="19"/>
                    </w:rPr>
                    <w:t>600 mm</w:t>
                  </w:r>
                  <w:r>
                    <w:rPr>
                      <w:rFonts w:ascii="仿宋_GB2312" w:hAnsi="仿宋_GB2312" w:cs="仿宋_GB2312" w:eastAsia="仿宋_GB2312"/>
                      <w:sz w:val="19"/>
                    </w:rPr>
                    <w:t>×</w:t>
                  </w:r>
                  <w:r>
                    <w:rPr>
                      <w:rFonts w:ascii="仿宋_GB2312" w:hAnsi="仿宋_GB2312" w:cs="仿宋_GB2312" w:eastAsia="仿宋_GB2312"/>
                      <w:sz w:val="19"/>
                    </w:rPr>
                    <w:t>500 mm</w:t>
                  </w:r>
                  <w:r>
                    <w:rPr>
                      <w:rFonts w:ascii="仿宋_GB2312" w:hAnsi="仿宋_GB2312" w:cs="仿宋_GB2312" w:eastAsia="仿宋_GB2312"/>
                      <w:sz w:val="19"/>
                    </w:rPr>
                    <w:t>，可放入生物安全柜中。</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设备重量：设备整体重量</w:t>
                  </w:r>
                  <w:r>
                    <w:rPr>
                      <w:rFonts w:ascii="仿宋_GB2312" w:hAnsi="仿宋_GB2312" w:cs="仿宋_GB2312" w:eastAsia="仿宋_GB2312"/>
                      <w:sz w:val="19"/>
                    </w:rPr>
                    <w:t>≤</w:t>
                  </w:r>
                  <w:r>
                    <w:rPr>
                      <w:rFonts w:ascii="仿宋_GB2312" w:hAnsi="仿宋_GB2312" w:cs="仿宋_GB2312" w:eastAsia="仿宋_GB2312"/>
                      <w:sz w:val="19"/>
                    </w:rPr>
                    <w:t>60kg</w:t>
                  </w:r>
                  <w:r>
                    <w:rPr>
                      <w:rFonts w:ascii="仿宋_GB2312" w:hAnsi="仿宋_GB2312" w:cs="仿宋_GB2312" w:eastAsia="仿宋_GB2312"/>
                      <w:sz w:val="19"/>
                    </w:rPr>
                    <w:t>，便于运输。</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临床验证与技术可靠性：设备和检测系统的核心技术原理及性能指标应具备充分的临床验证基础。须提供近</w:t>
                  </w:r>
                  <w:r>
                    <w:rPr>
                      <w:rFonts w:ascii="仿宋_GB2312" w:hAnsi="仿宋_GB2312" w:cs="仿宋_GB2312" w:eastAsia="仿宋_GB2312"/>
                      <w:sz w:val="19"/>
                    </w:rPr>
                    <w:t>5</w:t>
                  </w:r>
                  <w:r>
                    <w:rPr>
                      <w:rFonts w:ascii="仿宋_GB2312" w:hAnsi="仿宋_GB2312" w:cs="仿宋_GB2312" w:eastAsia="仿宋_GB2312"/>
                      <w:sz w:val="19"/>
                    </w:rPr>
                    <w:t>年内公开发表的、与设备和检测系统直接相关的，期刊杂志上的研究文献及国家级机构出具的性能验证报告。需涵盖设备在结核病诊断中的应用效果、性能验证或比对研究、推荐使用等。</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2</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操作便捷性</w:t>
                  </w:r>
                  <w:r>
                    <w:rPr>
                      <w:rFonts w:ascii="仿宋_GB2312" w:hAnsi="仿宋_GB2312" w:cs="仿宋_GB2312" w:eastAsia="仿宋_GB2312"/>
                      <w:sz w:val="19"/>
                    </w:rPr>
                    <w:t>：</w:t>
                  </w:r>
                  <w:r>
                    <w:rPr>
                      <w:rFonts w:ascii="仿宋_GB2312" w:hAnsi="仿宋_GB2312" w:cs="仿宋_GB2312" w:eastAsia="仿宋_GB2312"/>
                      <w:sz w:val="19"/>
                    </w:rPr>
                    <w:t>耗材可直接上机，无需样本托架辅助。</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3</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生物安全性</w:t>
                  </w:r>
                  <w:r>
                    <w:rPr>
                      <w:rFonts w:ascii="仿宋_GB2312" w:hAnsi="仿宋_GB2312" w:cs="仿宋_GB2312" w:eastAsia="仿宋_GB2312"/>
                      <w:sz w:val="19"/>
                    </w:rPr>
                    <w:t>：</w:t>
                  </w:r>
                  <w:r>
                    <w:rPr>
                      <w:rFonts w:ascii="仿宋_GB2312" w:hAnsi="仿宋_GB2312" w:cs="仿宋_GB2312" w:eastAsia="仿宋_GB2312"/>
                      <w:sz w:val="19"/>
                    </w:rPr>
                    <w:t>无需手工添加核酸提取及扩增试剂。</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4</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检测独立性</w:t>
                  </w:r>
                  <w:r>
                    <w:rPr>
                      <w:rFonts w:ascii="仿宋_GB2312" w:hAnsi="仿宋_GB2312" w:cs="仿宋_GB2312" w:eastAsia="仿宋_GB2312"/>
                      <w:sz w:val="19"/>
                    </w:rPr>
                    <w:t>：</w:t>
                  </w:r>
                  <w:r>
                    <w:rPr>
                      <w:rFonts w:ascii="仿宋_GB2312" w:hAnsi="仿宋_GB2312" w:cs="仿宋_GB2312" w:eastAsia="仿宋_GB2312"/>
                      <w:sz w:val="19"/>
                    </w:rPr>
                    <w:t>当出现一个检测模块故障时，不影响其余检测模块正常使用。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5</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仪器试剂配套</w:t>
                  </w:r>
                  <w:r>
                    <w:rPr>
                      <w:rFonts w:ascii="仿宋_GB2312" w:hAnsi="仿宋_GB2312" w:cs="仿宋_GB2312" w:eastAsia="仿宋_GB2312"/>
                      <w:sz w:val="19"/>
                    </w:rPr>
                    <w:t>：</w:t>
                  </w:r>
                  <w:r>
                    <w:rPr>
                      <w:rFonts w:ascii="仿宋_GB2312" w:hAnsi="仿宋_GB2312" w:cs="仿宋_GB2312" w:eastAsia="仿宋_GB2312"/>
                      <w:sz w:val="19"/>
                    </w:rPr>
                    <w:t>提供与设备同品牌获证试剂盒。</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6</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扫码识别：</w:t>
                  </w:r>
                  <w:r>
                    <w:rPr>
                      <w:rFonts w:ascii="仿宋_GB2312" w:hAnsi="仿宋_GB2312" w:cs="仿宋_GB2312" w:eastAsia="仿宋_GB2312"/>
                      <w:sz w:val="19"/>
                    </w:rPr>
                    <w:t>检测试剂盒具有唯一编码，仪器可自动识别录入。</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7</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分析软件</w:t>
                  </w:r>
                  <w:r>
                    <w:rPr>
                      <w:rFonts w:ascii="仿宋_GB2312" w:hAnsi="仿宋_GB2312" w:cs="仿宋_GB2312" w:eastAsia="仿宋_GB2312"/>
                      <w:sz w:val="19"/>
                    </w:rPr>
                    <w:t>：</w:t>
                  </w:r>
                  <w:r>
                    <w:rPr>
                      <w:rFonts w:ascii="仿宋_GB2312" w:hAnsi="仿宋_GB2312" w:cs="仿宋_GB2312" w:eastAsia="仿宋_GB2312"/>
                      <w:sz w:val="19"/>
                    </w:rPr>
                    <w:t>根据检测项目，软件可对实验数据的</w:t>
                  </w:r>
                  <w:r>
                    <w:rPr>
                      <w:rFonts w:ascii="仿宋_GB2312" w:hAnsi="仿宋_GB2312" w:cs="仿宋_GB2312" w:eastAsia="仿宋_GB2312"/>
                      <w:sz w:val="19"/>
                    </w:rPr>
                    <w:t>Cq/Ct</w:t>
                  </w:r>
                  <w:r>
                    <w:rPr>
                      <w:rFonts w:ascii="仿宋_GB2312" w:hAnsi="仿宋_GB2312" w:cs="仿宋_GB2312" w:eastAsia="仿宋_GB2312"/>
                      <w:sz w:val="19"/>
                    </w:rPr>
                    <w:t>值、熔解曲线</w:t>
                  </w:r>
                  <w:r>
                    <w:rPr>
                      <w:rFonts w:ascii="仿宋_GB2312" w:hAnsi="仿宋_GB2312" w:cs="仿宋_GB2312" w:eastAsia="仿宋_GB2312"/>
                      <w:sz w:val="19"/>
                    </w:rPr>
                    <w:t>Tm</w:t>
                  </w:r>
                  <w:r>
                    <w:rPr>
                      <w:rFonts w:ascii="仿宋_GB2312" w:hAnsi="仿宋_GB2312" w:cs="仿宋_GB2312" w:eastAsia="仿宋_GB2312"/>
                      <w:sz w:val="19"/>
                    </w:rPr>
                    <w:t>值</w:t>
                  </w:r>
                  <w:r>
                    <w:rPr>
                      <w:rFonts w:ascii="仿宋_GB2312" w:hAnsi="仿宋_GB2312" w:cs="仿宋_GB2312" w:eastAsia="仿宋_GB2312"/>
                      <w:sz w:val="19"/>
                    </w:rPr>
                    <w:t>/</w:t>
                  </w:r>
                  <w:r>
                    <w:rPr>
                      <w:rFonts w:ascii="仿宋_GB2312" w:hAnsi="仿宋_GB2312" w:cs="仿宋_GB2312" w:eastAsia="仿宋_GB2312"/>
                      <w:sz w:val="19"/>
                    </w:rPr>
                    <w:t>峰高等进行自动分析，具备结果自动判读功能，</w:t>
                  </w:r>
                  <w:r>
                    <w:rPr>
                      <w:rFonts w:ascii="仿宋_GB2312" w:hAnsi="仿宋_GB2312" w:cs="仿宋_GB2312" w:eastAsia="仿宋_GB2312"/>
                      <w:sz w:val="19"/>
                    </w:rPr>
                    <w:t>可自动输出结核鉴定的半定量结果、</w:t>
                  </w:r>
                  <w:r>
                    <w:rPr>
                      <w:rFonts w:ascii="仿宋_GB2312" w:hAnsi="仿宋_GB2312" w:cs="仿宋_GB2312" w:eastAsia="仿宋_GB2312"/>
                      <w:sz w:val="19"/>
                    </w:rPr>
                    <w:t>药物敏感</w:t>
                  </w:r>
                  <w:r>
                    <w:rPr>
                      <w:rFonts w:ascii="仿宋_GB2312" w:hAnsi="仿宋_GB2312" w:cs="仿宋_GB2312" w:eastAsia="仿宋_GB2312"/>
                      <w:sz w:val="19"/>
                    </w:rPr>
                    <w:t>/</w:t>
                  </w:r>
                  <w:r>
                    <w:rPr>
                      <w:rFonts w:ascii="仿宋_GB2312" w:hAnsi="仿宋_GB2312" w:cs="仿宋_GB2312" w:eastAsia="仿宋_GB2312"/>
                      <w:sz w:val="19"/>
                    </w:rPr>
                    <w:t>耐药等结果，并可导出检测报告。运行出现错误时提示错误原因。</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8</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仪器自检及维护</w:t>
                  </w:r>
                  <w:r>
                    <w:rPr>
                      <w:rFonts w:ascii="仿宋_GB2312" w:hAnsi="仿宋_GB2312" w:cs="仿宋_GB2312" w:eastAsia="仿宋_GB2312"/>
                      <w:sz w:val="19"/>
                    </w:rPr>
                    <w:t>：</w:t>
                  </w:r>
                  <w:r>
                    <w:rPr>
                      <w:rFonts w:ascii="仿宋_GB2312" w:hAnsi="仿宋_GB2312" w:cs="仿宋_GB2312" w:eastAsia="仿宋_GB2312"/>
                      <w:sz w:val="19"/>
                    </w:rPr>
                    <w:t>软件启动后进行仪器自检并具备维护功能，实时监控仪器运行状态。</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控制系统</w:t>
                  </w:r>
                  <w:r>
                    <w:rPr>
                      <w:rFonts w:ascii="仿宋_GB2312" w:hAnsi="仿宋_GB2312" w:cs="仿宋_GB2312" w:eastAsia="仿宋_GB2312"/>
                      <w:sz w:val="19"/>
                    </w:rPr>
                    <w:t>：</w:t>
                  </w:r>
                  <w:r>
                    <w:rPr>
                      <w:rFonts w:ascii="仿宋_GB2312" w:hAnsi="仿宋_GB2312" w:cs="仿宋_GB2312" w:eastAsia="仿宋_GB2312"/>
                      <w:sz w:val="19"/>
                    </w:rPr>
                    <w:t>须与用户</w:t>
                  </w:r>
                  <w:r>
                    <w:rPr>
                      <w:rFonts w:ascii="仿宋_GB2312" w:hAnsi="仿宋_GB2312" w:cs="仿宋_GB2312" w:eastAsia="仿宋_GB2312"/>
                      <w:sz w:val="19"/>
                    </w:rPr>
                    <w:t>Lis</w:t>
                  </w:r>
                  <w:r>
                    <w:rPr>
                      <w:rFonts w:ascii="仿宋_GB2312" w:hAnsi="仿宋_GB2312" w:cs="仿宋_GB2312" w:eastAsia="仿宋_GB2312"/>
                      <w:sz w:val="19"/>
                    </w:rPr>
                    <w:t>系统无缝链接。</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0</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UPS</w:t>
                  </w:r>
                  <w:r>
                    <w:rPr>
                      <w:rFonts w:ascii="仿宋_GB2312" w:hAnsi="仿宋_GB2312" w:cs="仿宋_GB2312" w:eastAsia="仿宋_GB2312"/>
                      <w:sz w:val="19"/>
                    </w:rPr>
                    <w:t>稳压电源</w:t>
                  </w:r>
                  <w:r>
                    <w:rPr>
                      <w:rFonts w:ascii="仿宋_GB2312" w:hAnsi="仿宋_GB2312" w:cs="仿宋_GB2312" w:eastAsia="仿宋_GB2312"/>
                      <w:sz w:val="19"/>
                    </w:rPr>
                    <w:t>：</w:t>
                  </w:r>
                  <w:r>
                    <w:rPr>
                      <w:rFonts w:ascii="仿宋_GB2312" w:hAnsi="仿宋_GB2312" w:cs="仿宋_GB2312" w:eastAsia="仿宋_GB2312"/>
                      <w:sz w:val="19"/>
                    </w:rPr>
                    <w:t>确保设备在无外接电源情况下，能完成结核分枝杆菌鉴定和利福平耐药检测一轮测试，并输出结果。</w:t>
                  </w:r>
                </w:p>
              </w:tc>
            </w:tr>
          </w:tbl>
          <w:p>
            <w:pPr>
              <w:pStyle w:val="null3"/>
            </w:pPr>
            <w:r>
              <w:rPr>
                <w:rFonts w:ascii="仿宋_GB2312" w:hAnsi="仿宋_GB2312" w:cs="仿宋_GB2312" w:eastAsia="仿宋_GB2312"/>
              </w:rPr>
              <w:t>四、售后服务要求：</w:t>
            </w:r>
          </w:p>
          <w:tbl>
            <w:tblPr>
              <w:tblBorders>
                <w:top w:val="none" w:color="000000" w:sz="4"/>
                <w:left w:val="none" w:color="000000" w:sz="4"/>
                <w:bottom w:val="none" w:color="000000" w:sz="4"/>
                <w:right w:val="none" w:color="000000" w:sz="4"/>
                <w:insideH w:val="none"/>
                <w:insideV w:val="none"/>
              </w:tblBorders>
            </w:tblPr>
            <w:tblGrid>
              <w:gridCol w:w="202"/>
              <w:gridCol w:w="2980"/>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收费标准</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质保期内免费校准及出报告；</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质保期外免人工费和维修费，只收取相应的配件费。（3）</w:t>
                  </w:r>
                  <w:r>
                    <w:rPr>
                      <w:rFonts w:ascii="仿宋_GB2312" w:hAnsi="仿宋_GB2312" w:cs="仿宋_GB2312" w:eastAsia="仿宋_GB2312"/>
                      <w:sz w:val="19"/>
                    </w:rPr>
                    <w:t>提供每人份试剂盒价格</w:t>
                  </w:r>
                  <w:r>
                    <w:rPr>
                      <w:rFonts w:ascii="仿宋_GB2312" w:hAnsi="仿宋_GB2312" w:cs="仿宋_GB2312" w:eastAsia="仿宋_GB2312"/>
                      <w:sz w:val="19"/>
                    </w:rPr>
                    <w:t>≤</w:t>
                  </w:r>
                  <w:r>
                    <w:rPr>
                      <w:rFonts w:ascii="仿宋_GB2312" w:hAnsi="仿宋_GB2312" w:cs="仿宋_GB2312" w:eastAsia="仿宋_GB2312"/>
                      <w:sz w:val="19"/>
                    </w:rPr>
                    <w:t>150</w:t>
                  </w:r>
                  <w:r>
                    <w:rPr>
                      <w:rFonts w:ascii="仿宋_GB2312" w:hAnsi="仿宋_GB2312" w:cs="仿宋_GB2312" w:eastAsia="仿宋_GB2312"/>
                      <w:sz w:val="19"/>
                    </w:rPr>
                    <w:t>元。</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培训支持</w:t>
                  </w:r>
                  <w:r>
                    <w:rPr>
                      <w:rFonts w:ascii="仿宋_GB2312" w:hAnsi="仿宋_GB2312" w:cs="仿宋_GB2312" w:eastAsia="仿宋_GB2312"/>
                      <w:sz w:val="19"/>
                    </w:rPr>
                    <w:t>：</w:t>
                  </w:r>
                  <w:r>
                    <w:rPr>
                      <w:rFonts w:ascii="仿宋_GB2312" w:hAnsi="仿宋_GB2312" w:cs="仿宋_GB2312" w:eastAsia="仿宋_GB2312"/>
                      <w:sz w:val="19"/>
                    </w:rPr>
                    <w:t>现场操作培训</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维修响应</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小时响应，</w:t>
                  </w:r>
                  <w:r>
                    <w:rPr>
                      <w:rFonts w:ascii="仿宋_GB2312" w:hAnsi="仿宋_GB2312" w:cs="仿宋_GB2312" w:eastAsia="仿宋_GB2312"/>
                      <w:sz w:val="19"/>
                    </w:rPr>
                    <w:t>24</w:t>
                  </w:r>
                  <w:r>
                    <w:rPr>
                      <w:rFonts w:ascii="仿宋_GB2312" w:hAnsi="仿宋_GB2312" w:cs="仿宋_GB2312" w:eastAsia="仿宋_GB2312"/>
                      <w:sz w:val="19"/>
                    </w:rPr>
                    <w:t>小时到场，提供</w:t>
                  </w:r>
                  <w:r>
                    <w:rPr>
                      <w:rFonts w:ascii="仿宋_GB2312" w:hAnsi="仿宋_GB2312" w:cs="仿宋_GB2312" w:eastAsia="仿宋_GB2312"/>
                      <w:sz w:val="19"/>
                    </w:rPr>
                    <w:t>365</w:t>
                  </w:r>
                  <w:r>
                    <w:rPr>
                      <w:rFonts w:ascii="仿宋_GB2312" w:hAnsi="仿宋_GB2312" w:cs="仿宋_GB2312" w:eastAsia="仿宋_GB2312"/>
                      <w:sz w:val="19"/>
                    </w:rPr>
                    <w:t>天、</w:t>
                  </w:r>
                  <w:r>
                    <w:rPr>
                      <w:rFonts w:ascii="仿宋_GB2312" w:hAnsi="仿宋_GB2312" w:cs="仿宋_GB2312" w:eastAsia="仿宋_GB2312"/>
                      <w:sz w:val="19"/>
                    </w:rPr>
                    <w:t>7*24</w:t>
                  </w:r>
                  <w:r>
                    <w:rPr>
                      <w:rFonts w:ascii="仿宋_GB2312" w:hAnsi="仿宋_GB2312" w:cs="仿宋_GB2312" w:eastAsia="仿宋_GB2312"/>
                      <w:sz w:val="19"/>
                    </w:rPr>
                    <w:t>小时的服务热线，方便用户服务、产品、技术、业务等问题进行咨询及故障报修，提供服务热线。</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4</w:t>
                  </w:r>
                </w:p>
              </w:tc>
              <w:tc>
                <w:tcPr>
                  <w:tcW w:type="dxa" w:w="2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合同履约：</w:t>
                  </w:r>
                  <w:r>
                    <w:rPr>
                      <w:rFonts w:ascii="仿宋_GB2312" w:hAnsi="仿宋_GB2312" w:cs="仿宋_GB2312" w:eastAsia="仿宋_GB2312"/>
                      <w:sz w:val="19"/>
                    </w:rPr>
                    <w:t>按照合同约定日期送货、培训。</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交货期：合同签订生效之日起30日历日内；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货到验收合格后，采购人结算，在付款前供应商必须开具全额发票给采购人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货物验收依据为甲方招标文件项目采购需求、乙方在投标文件中的承诺。验收程序、验收方式以及验收不合格的补救措施和相关责任，由乙方与甲方签订供货合同时具体约定。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线上电子响应文件，同时，线下提交纸质版投标文件，正本壹份、副本贰份、电子版壹份（U盘一套包含投标文件word版及盖章PDF版，并标明投标人名称，随正本密封）。 若线上电子投标文件与纸质投标文件不一致的，以线上电子投标文件为准；若正本和副本不符，以正本为准。线下递交文件时间：不得早于本项目开标时间；线下递交文件地点：西安市新城区长乐西路华东万悦城2号写字楼22楼2208室。 2、投标保证金注意事项：（1）投标保证金须从供应商户名支付，如从个人户名或非供应商户名支付，将被拒绝，视为自动放弃投标权利（该个人是供应商的情形除外）；以保函形式交纳投标保证金的，供应商应在投标截止时间前将保函扫描成清晰的PDF文件，发送至邮箱yzzb88611613@163.com（邮件命名：项目编号），保函必须由具有开具投标保函资格的单位开具；若供应商违约，开具保函单位承担连带责任；（2）投标保证金的提交账户、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身份证原件）；2、税收缴纳证明：提供自2025年1月1日以来至少一个月的纳税证明或完税证明，纳税证明或完税证明上应有代收机构或税务机关的公章或业务专用章；其他组织和自然人提供自2025年1月1日以来的至少一个月的缴纳税收的凭据；依法免税的或者依法不需缴税的供应商应提供相关文件证明；其他组织和自然人也须提供(复印件加盖公章)；3、社会保障资金缴纳证明：提供自2025年1月1日以来至少一个月的社会保障资金的证明（社会保障资金缴存单据或社保机构开具的社会保险参保缴费情况证明等）；依法不需要缴纳社会保障资金的供应商应提供相关文件证明；其他组织和自然人也须提供(复印件加盖公章)；4、提供具有履行本合同所必需的设备和专业技术能力的声明（提供加盖供应商公章的声明函）及证明材料；5、参加本次政府采购活动前三年内在经营活动中没有重大违纪，以及未被列入失信被执行人、重大税收违法案件当事人名单、政府采购严重违法失信行为记录名单的书面声明（提供加盖供应商公章的声明函）；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 3.承诺书.docx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投标文件截止时间不足一年的可提供成立后任意时段的资产负债表）或提交投标截止日前半年以来银行出具的资信证明或信用担保机构出具的投标担保函（以上三种形式的资料提供任何一种即可）及完善的财务会计制度；其他组织和自然人提供银行出具的资信证明或财务报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1、供应商需在项目电子化交易系统中按要求填写《投标函》完成承诺并进行电子签章。2、提供加盖公章的承诺函。</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法定代表人参加投标的，须提交法定代表人身份证明及身份证；法定代表人授权他人参加投标的，须提交法定代表人授权委托书及被授权人身份证。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投标供应商应提供《非联合体不分包投标声明 》。</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资格审查时，供应商未被列入失信被执行人、重大税收违法失信主体名单、政府采购严重违法失信行为记录名单。</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代理商参加投标的须提供投标人的《医疗器械经营许可证》及生产厂家的《医疗器械生产许可证》、所投设备及配套结核及耐药试剂的《医疗器械注册证》；制造商参加投标的须提供投标人的《医疗器械生产许可证》、《医疗器械经营许可证》、所投设备及配套结核及耐药试剂的《医疗器械注册证》。</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2.资格证明文件.docx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2.资格证明文件.docx 投标函 中小企业声明函 残疾人福利性单位声明函 4.商务偏离表.docx 标的清单 投标文件封面 5.技术响应与偏离表.docx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 4.商务偏离表.docx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投标报价是否唯一，是否超过招标文件中规定的采购预算或最高限价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是否对招标文件中的★号项作出实质性响应的；</w:t>
            </w:r>
          </w:p>
        </w:tc>
        <w:tc>
          <w:tcPr>
            <w:tcW w:type="dxa" w:w="1661"/>
          </w:tcPr>
          <w:p>
            <w:pPr>
              <w:pStyle w:val="null3"/>
            </w:pPr>
            <w:r>
              <w:rPr>
                <w:rFonts w:ascii="仿宋_GB2312" w:hAnsi="仿宋_GB2312" w:cs="仿宋_GB2312" w:eastAsia="仿宋_GB2312"/>
              </w:rPr>
              <w:t>9.售后服务方案.docx 5.技术响应与偏离表.docx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4.商务偏离表.docx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对所投产品的“技术参数”逐条进行明确响应，并按要求提供相关证明材料；其中：1、基本分（36分）：采购要求全部满足招标文件要求得36分，无证明材料不计分；标▲技术指标每负偏离一项扣2.5分，非▲技术参数每负偏离一项扣1分。2、重要指标加分项（4分）：（1）检测时间≤120分钟，加1分；检测时间≤90分钟，加2分。（2）设备具备独立模块数≥6，加1分；设备具备独立模块数≥8，加2分。备注：1、★代表实质性指标，不满足该指标项将导致投标被拒绝。2、证明材料要求：以第三方检测机构出具的检测报告、使用说明书、产品官网截图作为评审依据，各证明材料中的响应指标应保持一致，若不一致以最不利于技术参数响应的证明材料进行评审。3、投标文件技术参数响应情况内容应与证明材料内容一致，不一致时，按“未响应”进行评审。4、技术指标偏差表完全复制招标文件技术参数的，专家可给予3分扣减。</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渠道来源</w:t>
            </w:r>
          </w:p>
        </w:tc>
        <w:tc>
          <w:tcPr>
            <w:tcW w:type="dxa" w:w="2492"/>
          </w:tcPr>
          <w:p>
            <w:pPr>
              <w:pStyle w:val="null3"/>
            </w:pPr>
            <w:r>
              <w:rPr>
                <w:rFonts w:ascii="仿宋_GB2312" w:hAnsi="仿宋_GB2312" w:cs="仿宋_GB2312" w:eastAsia="仿宋_GB2312"/>
              </w:rPr>
              <w:t>（1）提供所投产品的合法来源渠道证明文件（提供产品授权书、代理协议、销售协议中任意一项），计0.5分，无证明资料或提供不全不计分；（2）提供所投产品的全部生产厂家的《ISO 9001质量管理体系认证证书》复印件加盖投标人公章，计0.5分，无证明资料或提供不全不计分。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6.产品渠道证明.docx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 xml:space="preserve"> 根据项目实际需求，提供质量保证方案。内容包含：（1）产品性能、使用寿命及效果；（2）质量管理体系及保证措施。满分2分；以上2项中每缺少一项扣1分，每项中内容存在一处缺陷或不足扣0.5分，单项扣完为止。注: 内容存在缺陷或不足是指内容不满足项目要求或与项目无关的或与项目不匹配或项目名称、实施地点、涉及的规范、技术服务标准要求与本项目不一致或逻辑不通等情形。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有具体的项目组织实施方案，资金等保障措施可靠，能够保证按期供货。提供内容包含：（1）对项目实验室设备的布局环境和要求提供切实可行的实施方案。（2）备货、供货进度、保证措施及出现紧急情况的保证措施。（3）拟投入本项目的人员安排及人员学历、职称情况，配备人员的类似项目实施经验及责任制度。（4）产品安装、检测、调试等方面保证措施。 满分12分；以上4项中每缺少一项的扣3分，每项中内容存在一处缺陷或不足扣1分，单项扣完为止。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8.总体实施方案.docx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1、投标人提供的售后服务方案, 内容包含：（1）针对招标文件的“售后服务要求”，提供由制造商出具的《售后服务承诺》；（2）售后服务及应急服务方案；（3）设备巡检方案；（4）售后服务人员配备情况。满分 4分；以上4项中每缺少一项的扣1分，每项中内容存在缺陷或不足扣0.5分，单项扣完为止。 2、提供（1）售后服务机构概况、机构运行情况、（2）网点设定的相关证明材料。满分 2分；以上2项中每缺少一项的扣1分，每项中内容存在缺陷或不足扣0.5分，单项扣完为止。 3、根据投标人提供的：（1）培训时间、培训人数、（2）培训师资人员、培训方式。满分 2分；以上2项中每缺少一项的扣1分，每项中内容存在缺陷或不足扣0.5分，单项扣完为止。 4、培训内容应包括：（1）所提供产品的原理和技术性能、操作维护方法、（2）安装调试、排除故障等各个方面。满分 2 分；以上2项中每缺少一项的扣1分，每项中内容存在缺陷或不足扣0.5分，单项扣完为止。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在质保期3年的基础上每增加1年加1分，最多加2分。（提供制造商出具的质保期承诺函，不提供不得分。）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10.质保期承诺函.docx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提供投标人2022年11月1日至今所投产品同类项目业绩合同，须提供合同复印件，以合同签订时间为准，每提供一份完整的合同复印件，计1分，满分3分。 注: 1、同一个项目提供多份业绩的，按一份业绩计。 2、以上证明材料复印件须提供完整并清晰可辨，如出现模糊无法辨认的情况，评标委员会有权视为业绩资料不合格。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价格分统一采用低价优先法计算，即满足投标文件要求且投标价格最低的投标报价为评标基准价，其价格分为满分。其他供应商的价格分统一按照下列公式计算：价格分=(评标基准价／投标报价)×30 计算分数时保留小数点后两位；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详见附件：4.商务偏离表.docx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详见附件：6.产品渠道证明.docx</w:t>
      </w:r>
    </w:p>
    <w:p>
      <w:pPr>
        <w:pStyle w:val="null3"/>
        <w:ind w:firstLine="960"/>
      </w:pPr>
      <w:r>
        <w:rPr>
          <w:rFonts w:ascii="仿宋_GB2312" w:hAnsi="仿宋_GB2312" w:cs="仿宋_GB2312" w:eastAsia="仿宋_GB2312"/>
        </w:rPr>
        <w:t>详见附件：7.质量保证方案.docx</w:t>
      </w:r>
    </w:p>
    <w:p>
      <w:pPr>
        <w:pStyle w:val="null3"/>
        <w:ind w:firstLine="960"/>
      </w:pPr>
      <w:r>
        <w:rPr>
          <w:rFonts w:ascii="仿宋_GB2312" w:hAnsi="仿宋_GB2312" w:cs="仿宋_GB2312" w:eastAsia="仿宋_GB2312"/>
        </w:rPr>
        <w:t>详见附件：8.总体实施方案.docx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详见附件：10.质保期承诺函.docx</w:t>
      </w:r>
    </w:p>
    <w:p>
      <w:pPr>
        <w:pStyle w:val="null3"/>
        <w:ind w:firstLine="960"/>
      </w:pPr>
      <w:r>
        <w:rPr>
          <w:rFonts w:ascii="仿宋_GB2312" w:hAnsi="仿宋_GB2312" w:cs="仿宋_GB2312" w:eastAsia="仿宋_GB2312"/>
        </w:rPr>
        <w:t>详见附件：11.业绩一览表.docx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