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版本号：WSQ-2025-60020250922002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驻外考古队站改造设计服务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WSQ-2025-600</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驻外考古队站改造设计服务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WSQ-2025-600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驻外考古队站改造设计服务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周原国际考古工作站、寨沟考古工作站及长春考古工作站改造设计服务，满足考古基地使用功能，优化提升外立面、围墙、大门、道路绿化、会议室、餐厅、卫生间、宿舍、库房、整理室等设计改造提升。 （1）周原国际考古工作站：室内3952㎡，室外广场9373㎡，外立面4751㎡；（2）寨沟考古工作站：室内1381㎡，室外广场2060㎡，外立面900㎡；（3）长春考古工作站：室内3372㎡，外立面2470㎡。 本次项目设计阶段分为方案设计和施工图设计阶段。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采购包1（驻外考古队站改造设计服务）：属于专门面向中小企业采购。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供应商具备建设行政主管部门颁发的工程设计综合甲级资质或建筑行业设计乙级及以上资质或建筑行业（建筑工程）设计乙级及以上资质或建筑装饰工程设计专项甲级资质；供应商需在项目电子化交易系统中按要求上传相应证明文件并进行电子签章；</w:t>
      </w:r>
    </w:p>
    <w:p>
      <w:pPr>
        <w:pStyle w:val="null3"/>
      </w:pPr>
      <w:r>
        <w:rPr>
          <w:rFonts w:ascii="仿宋_GB2312" w:hAnsi="仿宋_GB2312" w:cs="仿宋_GB2312" w:eastAsia="仿宋_GB2312"/>
        </w:rPr>
        <w:t>3、拟派项目负责人要求：拟派项目设计负责人须具备拟派项目设计负责人须具备国家一级注册建筑师执业资格或建筑相关专业高级工程师；供应商需在项目电子化交易系统中按要求上传相应证明文件并进行电子签章；</w:t>
      </w:r>
    </w:p>
    <w:p>
      <w:pPr>
        <w:pStyle w:val="null3"/>
      </w:pPr>
      <w:r>
        <w:rPr>
          <w:rFonts w:ascii="仿宋_GB2312" w:hAnsi="仿宋_GB2312" w:cs="仿宋_GB2312" w:eastAsia="仿宋_GB2312"/>
        </w:rPr>
        <w:t>4、截图查询：供应商及拟派项目负责人须在“陕西省住房和城乡建设厅”官网可查询；如供应商为外省进陕企业，还须同时提供“陕西省住房和城乡建设厅”官网企业库外省进陕勘察设计企业首页截图；供应商需在项目电子化交易系统中按要求上传相应证明文件并进行电子签章；</w:t>
      </w:r>
    </w:p>
    <w:p>
      <w:pPr>
        <w:pStyle w:val="null3"/>
      </w:pPr>
      <w:r>
        <w:rPr>
          <w:rFonts w:ascii="仿宋_GB2312" w:hAnsi="仿宋_GB2312" w:cs="仿宋_GB2312" w:eastAsia="仿宋_GB2312"/>
        </w:rPr>
        <w:t>5、财务状况审查：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社保缴纳审查：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7、税收缴纳审查：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8、法定代表人授权委托书审查：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9、无重大违法记录：无重大违法记录：供应商参加政府采购活动前3年内在经营活动中没有重大违法记录；供应商需在项目电子化交易系统中按要求填写《响应函》完成承诺并进行电子签章。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10、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11、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12、控股管理关系：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rFonts w:ascii="仿宋_GB2312" w:hAnsi="仿宋_GB2312" w:cs="仿宋_GB2312" w:eastAsia="仿宋_GB2312"/>
        </w:rPr>
        <w:t>13、联合体：本项目不接受联合体响应，不允许分包；供应商需在项目电子化交易系统中按要求填写《承诺书》完成承诺并进行电子签章。</w:t>
      </w:r>
    </w:p>
    <w:p>
      <w:pPr>
        <w:pStyle w:val="null3"/>
      </w:pPr>
      <w:r>
        <w:rPr>
          <w:rFonts w:ascii="仿宋_GB2312" w:hAnsi="仿宋_GB2312" w:cs="仿宋_GB2312" w:eastAsia="仿宋_GB2312"/>
        </w:rPr>
        <w:t>14、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 15389248069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服务类标准，按照优惠后的下浮费率收费计取，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联系电话：029-84198629 15389248069</w:t>
      </w:r>
    </w:p>
    <w:p>
      <w:pPr>
        <w:pStyle w:val="null3"/>
      </w:pPr>
      <w:r>
        <w:rPr>
          <w:rFonts w:ascii="仿宋_GB2312" w:hAnsi="仿宋_GB2312" w:cs="仿宋_GB2312" w:eastAsia="仿宋_GB2312"/>
        </w:rPr>
        <w:t>地址：陕西省西安市高新区沣惠南路34号摩尔中心A座11601室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周原国际考古工作站、寨沟考古工作站及长春考古工作站改造设计服务，满足考古基地使用功能，优化提升外立面、围墙、大门、道路绿化、会议室、餐厅、卫生间、宿舍、库房、整理室等设计改造提升。 （1）周原国际考古工作站：室内3952㎡，室外广场9373㎡，外立面4751㎡；（2）寨沟考古工作站：室内1381㎡，室外广场2060㎡，外立面900㎡；（3）长春考古工作站：室内3372㎡，外立面2470㎡。 本次项目设计阶段分为方案设计和施工图设计阶段。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驻外考古队站改造设计服务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标的名称：驻外考古队站改造设计服务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技术要求：</w:t>
            </w:r>
          </w:p>
          <w:p>
            <w:pPr>
              <w:pStyle w:val="null3"/>
            </w:pPr>
            <w:r>
              <w:rPr>
                <w:rFonts w:ascii="仿宋_GB2312" w:hAnsi="仿宋_GB2312" w:cs="仿宋_GB2312" w:eastAsia="仿宋_GB2312"/>
                <w:sz w:val="24"/>
              </w:rPr>
              <w:t>满足周原国际考古工作站、寨沟考古工作站及长春考古工作站使用功能，优化提升外立面、围墙、入口大门、道路绿化、会议室、餐厅、卫生间、宿舍、库房、整理室、资料室等设计改造提升。</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）周原国际考古工作站：室内</w:t>
            </w:r>
            <w:r>
              <w:rPr>
                <w:rFonts w:ascii="仿宋_GB2312" w:hAnsi="仿宋_GB2312" w:cs="仿宋_GB2312" w:eastAsia="仿宋_GB2312"/>
                <w:sz w:val="24"/>
              </w:rPr>
              <w:t>3952</w:t>
            </w:r>
            <w:r>
              <w:rPr>
                <w:rFonts w:ascii="仿宋_GB2312" w:hAnsi="仿宋_GB2312" w:cs="仿宋_GB2312" w:eastAsia="仿宋_GB2312"/>
                <w:sz w:val="24"/>
              </w:rPr>
              <w:t>㎡；室外广场</w:t>
            </w:r>
            <w:r>
              <w:rPr>
                <w:rFonts w:ascii="仿宋_GB2312" w:hAnsi="仿宋_GB2312" w:cs="仿宋_GB2312" w:eastAsia="仿宋_GB2312"/>
                <w:sz w:val="24"/>
              </w:rPr>
              <w:t>9373</w:t>
            </w:r>
            <w:r>
              <w:rPr>
                <w:rFonts w:ascii="仿宋_GB2312" w:hAnsi="仿宋_GB2312" w:cs="仿宋_GB2312" w:eastAsia="仿宋_GB2312"/>
                <w:sz w:val="24"/>
              </w:rPr>
              <w:t>㎡；外立面</w:t>
            </w:r>
            <w:r>
              <w:rPr>
                <w:rFonts w:ascii="仿宋_GB2312" w:hAnsi="仿宋_GB2312" w:cs="仿宋_GB2312" w:eastAsia="仿宋_GB2312"/>
                <w:sz w:val="24"/>
              </w:rPr>
              <w:t>4751</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）寨沟考古工作站：室内</w:t>
            </w:r>
            <w:r>
              <w:rPr>
                <w:rFonts w:ascii="仿宋_GB2312" w:hAnsi="仿宋_GB2312" w:cs="仿宋_GB2312" w:eastAsia="仿宋_GB2312"/>
                <w:sz w:val="24"/>
              </w:rPr>
              <w:t>1381</w:t>
            </w:r>
            <w:r>
              <w:rPr>
                <w:rFonts w:ascii="仿宋_GB2312" w:hAnsi="仿宋_GB2312" w:cs="仿宋_GB2312" w:eastAsia="仿宋_GB2312"/>
                <w:sz w:val="24"/>
              </w:rPr>
              <w:t>㎡；室外广场</w:t>
            </w:r>
            <w:r>
              <w:rPr>
                <w:rFonts w:ascii="仿宋_GB2312" w:hAnsi="仿宋_GB2312" w:cs="仿宋_GB2312" w:eastAsia="仿宋_GB2312"/>
                <w:sz w:val="24"/>
              </w:rPr>
              <w:t>2060</w:t>
            </w:r>
            <w:r>
              <w:rPr>
                <w:rFonts w:ascii="仿宋_GB2312" w:hAnsi="仿宋_GB2312" w:cs="仿宋_GB2312" w:eastAsia="仿宋_GB2312"/>
                <w:sz w:val="24"/>
              </w:rPr>
              <w:t>㎡；外立面</w:t>
            </w:r>
            <w:r>
              <w:rPr>
                <w:rFonts w:ascii="仿宋_GB2312" w:hAnsi="仿宋_GB2312" w:cs="仿宋_GB2312" w:eastAsia="仿宋_GB2312"/>
                <w:sz w:val="24"/>
              </w:rPr>
              <w:t>900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）长春考古工作站：室内</w:t>
            </w:r>
            <w:r>
              <w:rPr>
                <w:rFonts w:ascii="仿宋_GB2312" w:hAnsi="仿宋_GB2312" w:cs="仿宋_GB2312" w:eastAsia="仿宋_GB2312"/>
                <w:sz w:val="24"/>
              </w:rPr>
              <w:t>3372</w:t>
            </w:r>
            <w:r>
              <w:rPr>
                <w:rFonts w:ascii="仿宋_GB2312" w:hAnsi="仿宋_GB2312" w:cs="仿宋_GB2312" w:eastAsia="仿宋_GB2312"/>
                <w:sz w:val="24"/>
              </w:rPr>
              <w:t>㎡；外立面</w:t>
            </w:r>
            <w:r>
              <w:rPr>
                <w:rFonts w:ascii="仿宋_GB2312" w:hAnsi="仿宋_GB2312" w:cs="仿宋_GB2312" w:eastAsia="仿宋_GB2312"/>
                <w:sz w:val="24"/>
              </w:rPr>
              <w:t>2470</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本次项目设计阶段分为方案设计和施工图设计阶段。</w:t>
            </w:r>
          </w:p>
          <w:p>
            <w:pPr>
              <w:pStyle w:val="null3"/>
            </w:pPr>
            <w:r>
              <w:rPr>
                <w:rFonts w:ascii="仿宋_GB2312" w:hAnsi="仿宋_GB2312" w:cs="仿宋_GB2312" w:eastAsia="仿宋_GB2312"/>
                <w:sz w:val="24"/>
              </w:rPr>
              <w:t>一、方案阶段包含室内设计改造方案、室外设计改造方案成果：</w:t>
            </w:r>
          </w:p>
          <w:p>
            <w:pPr>
              <w:pStyle w:val="null3"/>
            </w:pPr>
            <w:r>
              <w:rPr>
                <w:rFonts w:ascii="仿宋_GB2312" w:hAnsi="仿宋_GB2312" w:cs="仿宋_GB2312" w:eastAsia="仿宋_GB2312"/>
                <w:sz w:val="24"/>
              </w:rPr>
              <w:t>1.</w:t>
            </w:r>
            <w:r>
              <w:rPr>
                <w:rFonts w:ascii="仿宋_GB2312" w:hAnsi="仿宋_GB2312" w:cs="仿宋_GB2312" w:eastAsia="仿宋_GB2312"/>
                <w:sz w:val="24"/>
              </w:rPr>
              <w:t>设计定位及概念，平面布置图，空间效果图和室外立面改造及部分景观设计图；</w:t>
            </w:r>
          </w:p>
          <w:p>
            <w:pPr>
              <w:pStyle w:val="null3"/>
            </w:pPr>
            <w:r>
              <w:rPr>
                <w:rFonts w:ascii="仿宋_GB2312" w:hAnsi="仿宋_GB2312" w:cs="仿宋_GB2312" w:eastAsia="仿宋_GB2312"/>
                <w:sz w:val="24"/>
              </w:rPr>
              <w:t>2.</w:t>
            </w:r>
            <w:r>
              <w:rPr>
                <w:rFonts w:ascii="仿宋_GB2312" w:hAnsi="仿宋_GB2312" w:cs="仿宋_GB2312" w:eastAsia="仿宋_GB2312"/>
                <w:sz w:val="24"/>
              </w:rPr>
              <w:t>主要材料介绍。</w:t>
            </w:r>
          </w:p>
          <w:p>
            <w:pPr>
              <w:pStyle w:val="null3"/>
            </w:pPr>
            <w:r>
              <w:rPr>
                <w:rFonts w:ascii="仿宋_GB2312" w:hAnsi="仿宋_GB2312" w:cs="仿宋_GB2312" w:eastAsia="仿宋_GB2312"/>
                <w:sz w:val="24"/>
              </w:rPr>
              <w:t>二、施工图设计阶段成果：</w:t>
            </w:r>
          </w:p>
          <w:p>
            <w:pPr>
              <w:pStyle w:val="null3"/>
            </w:pPr>
            <w:r>
              <w:rPr>
                <w:rFonts w:ascii="仿宋_GB2312" w:hAnsi="仿宋_GB2312" w:cs="仿宋_GB2312" w:eastAsia="仿宋_GB2312"/>
                <w:sz w:val="24"/>
              </w:rPr>
              <w:t xml:space="preserve">1. </w:t>
            </w:r>
            <w:r>
              <w:rPr>
                <w:rFonts w:ascii="仿宋_GB2312" w:hAnsi="仿宋_GB2312" w:cs="仿宋_GB2312" w:eastAsia="仿宋_GB2312"/>
                <w:sz w:val="24"/>
              </w:rPr>
              <w:t>室内设计改造施工图（平面布置图、顶面布置图、地面铺装图、立面图、节点大样图）；</w:t>
            </w:r>
          </w:p>
          <w:p>
            <w:pPr>
              <w:pStyle w:val="null3"/>
            </w:pPr>
            <w:r>
              <w:rPr>
                <w:rFonts w:ascii="仿宋_GB2312" w:hAnsi="仿宋_GB2312" w:cs="仿宋_GB2312" w:eastAsia="仿宋_GB2312"/>
                <w:sz w:val="24"/>
              </w:rPr>
              <w:t xml:space="preserve">2. </w:t>
            </w:r>
            <w:r>
              <w:rPr>
                <w:rFonts w:ascii="仿宋_GB2312" w:hAnsi="仿宋_GB2312" w:cs="仿宋_GB2312" w:eastAsia="仿宋_GB2312"/>
                <w:sz w:val="24"/>
              </w:rPr>
              <w:t>室外设计改造施工图（原结构拆改图、结构加固图、平面布置图、立面图、节点大样图）；</w:t>
            </w:r>
          </w:p>
          <w:p>
            <w:pPr>
              <w:pStyle w:val="null3"/>
            </w:pPr>
            <w:r>
              <w:rPr>
                <w:rFonts w:ascii="仿宋_GB2312" w:hAnsi="仿宋_GB2312" w:cs="仿宋_GB2312" w:eastAsia="仿宋_GB2312"/>
                <w:sz w:val="24"/>
              </w:rPr>
              <w:t xml:space="preserve">3. </w:t>
            </w:r>
            <w:r>
              <w:rPr>
                <w:rFonts w:ascii="仿宋_GB2312" w:hAnsi="仿宋_GB2312" w:cs="仿宋_GB2312" w:eastAsia="仿宋_GB2312"/>
                <w:sz w:val="24"/>
              </w:rPr>
              <w:t>机电配套改造施工图（给排水施工图、电气施工图、暖通施工图）；</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物料选型表（主材物料选型表、五金洁具选型表等）。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本项目位于岐山、富平、清涧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方案完成</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施工图完成</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如拟派项目负责为高级工程师，则不需要提供项目负责人在陕西省住房和城乡建设厅网站的备案截图。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工程设计综合甲级资质或建筑行业设计乙级及以上资质或建筑行业（建筑工程）设计乙级及以上资质或建筑装饰工程设计专项甲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拟派项目设计负责人须具备拟派项目设计负责人须具备国家一级注册建筑师执业资格或建筑相关专业高级工程师；供应商需在项目电子化交易系统中按要求上传相应证明文件并进行电子签章；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项目设计负责人简历表.docx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截图查询</w:t>
            </w:r>
          </w:p>
        </w:tc>
        <w:tc>
          <w:tcPr>
            <w:tcW w:type="dxa" w:w="3322"/>
          </w:tcPr>
          <w:p>
            <w:pPr>
              <w:pStyle w:val="null3"/>
            </w:pPr>
            <w:r>
              <w:rPr>
                <w:rFonts w:ascii="仿宋_GB2312" w:hAnsi="仿宋_GB2312" w:cs="仿宋_GB2312" w:eastAsia="仿宋_GB2312"/>
              </w:rPr>
              <w:t>供应商及拟派项目负责人须在“陕西省住房和城乡建设厅”官网可查询；如供应商为外省进陕企业，还须同时提供“陕西省住房和城乡建设厅”官网企业库外省进陕勘察设计企业首页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本项目不接受联合体响应，不允许分包；供应商需在项目电子化交易系统中按要求填写《承诺书》完成承诺并进行电子签章。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项目组人员构成人员情况表.docx 业绩一览表.docx 服务内容及服务邀请应答表 中小企业声明函 商务应答表 承诺书.docx 报价表 响应文件封面 法定代表人身份证明书.docx 供应商应提交的相关资格证明材料.docx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供应商报价未超过采购预算价或者最高限价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(1)不满足本磋商文件中“服务期限、服务地点、支付方式、支付约定”等实质性条款要求的； (2)文件有效期不足的或无有效期的； (3)法律、法规和磋商文件规定的其他无效情形。</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总体设计思路</w:t>
            </w:r>
          </w:p>
        </w:tc>
        <w:tc>
          <w:tcPr>
            <w:tcW w:type="dxa" w:w="2492"/>
          </w:tcPr>
          <w:p>
            <w:pPr>
              <w:pStyle w:val="null3"/>
            </w:pPr>
            <w:r>
              <w:rPr>
                <w:rFonts w:ascii="仿宋_GB2312" w:hAnsi="仿宋_GB2312" w:cs="仿宋_GB2312" w:eastAsia="仿宋_GB2312"/>
              </w:rPr>
              <w:t>提供针对本项目的总体设计思路，设计理念新颖有创意、思路清晰、楼宇功能完善。 1、完全满足采购需求，无瑕疵：15分； 2、内容存在1处瑕疵：13分； 3、内容存在2处瑕疵：11分； 4、内容存在3处瑕疵：9分； 5、内容存在4处瑕疵：7分； 6、内容存在5处瑕疵：6分； 7、内容存在6处瑕疵：5分； 8、内容存在7处瑕疵：4分； 9、内容存在8处瑕疵：3分； 10、内容存在9处瑕疵：2分； 11、未提供或内容存在10处及以上瑕疵：0分。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设计依据</w:t>
            </w:r>
          </w:p>
        </w:tc>
        <w:tc>
          <w:tcPr>
            <w:tcW w:type="dxa" w:w="2492"/>
          </w:tcPr>
          <w:p>
            <w:pPr>
              <w:pStyle w:val="null3"/>
            </w:pPr>
            <w:r>
              <w:rPr>
                <w:rFonts w:ascii="仿宋_GB2312" w:hAnsi="仿宋_GB2312" w:cs="仿宋_GB2312" w:eastAsia="仿宋_GB2312"/>
              </w:rPr>
              <w:t>设计依据须遵循国家、行业相关标准及规定及建设方相关要求。 1、完全满足采购需求，无瑕疵：10分； 2、方案内容存在1处瑕疵：8分； 3、方案内容存在2处瑕疵：6分； 4、方案内容存在3处瑕疵：4分； 5、方案内容存在4处瑕疵：2分； 6、未提供或内容存在5处及以上瑕疵：0分。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设计质量控制措施</w:t>
            </w:r>
          </w:p>
        </w:tc>
        <w:tc>
          <w:tcPr>
            <w:tcW w:type="dxa" w:w="2492"/>
          </w:tcPr>
          <w:p>
            <w:pPr>
              <w:pStyle w:val="null3"/>
            </w:pPr>
            <w:r>
              <w:rPr>
                <w:rFonts w:ascii="仿宋_GB2312" w:hAnsi="仿宋_GB2312" w:cs="仿宋_GB2312" w:eastAsia="仿宋_GB2312"/>
              </w:rPr>
              <w:t>供应商对本项目有详细、具体、可行的质量保障方案（含设计规范和标准、设计流程、设计阶段控制、本项目质量控制重难点）。质量保证方案详尽合理，切实可行。 1、完全满足采购需求，无瑕疵：15分； 2、内容存在1处瑕疵：13分； 3、内容存在2处瑕疵：10分； 4、内容存在3处瑕疵：8分； 5、内容存在4处瑕疵：6分； 6、内容存在5处瑕疵：5分； 7、内容存在6处瑕疵：4分； 8、内容存在7处瑕疵：3分； 9、内容存在8处瑕疵：2分； 10、内容存在9处瑕疵：1分； 11、未提供或内容存在10处及以上瑕疵：0分。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供应商针对本项目提供合理可行的进度计划安排方案及保障措施，确保项目顺利进行。 1、完全满足采购需求，无瑕疵：8分； 2、内容存在1处瑕疵：7分； 3、内容存在2处瑕疵：6分； 4、内容存在3处瑕疵：5分； 5、内容存在4处瑕疵：4分； 6、内容存在5处瑕疵：3分； 7、内容存在6处瑕疵：2分； 8、内容存在7处瑕疵：1分； 9、未提供或内容存在8处及以上瑕疵：0分。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供应商针对本项目有成熟应急预案体系和安全保障方案，针对培训过程中可能出现的突发状况制定完善的应急方案，保证出现突发事情时及时采取有效的应对措施。 1、完全满足采购需求，无瑕疵：10分； 2、方案内容存在1处瑕疵：8分； 3、方案内容存在2处瑕疵：6分； 4、方案内容存在3处瑕疵：4分； 5、方案内容存在4处瑕疵：2分； 6、未提供方案或存在5处及以上瑕疵：0分。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针对本次项目实施过程中的重点、难点分析。重点、难点分析清晰合理，重点把控准确，难点解决思路明确，解决计划可行性强。 1、完全满足采购需求，无瑕疵：10分； 2、方案内容存在1处瑕疵：8分； 3、方案内容存在2处瑕疵：6分； 4、方案内容存在3处瑕疵：4分； 5、方案内容存在4处瑕疵：2分； 6、未提供方案或存在5处及以上瑕疵：0分。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增值服务：除采购人要求的服务外，供应商还能够提供实质性其他增值类服务。 1、完全满足项目需求，无瑕疵：2分； 2、存在1处瑕疵：1分； 3、存在2处瑕疵：0.5分； 4、未提供方案或存在3处及以上瑕疵：0分。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针对本项目拟投入其他人员团队（除项目设计负责人外至少同时配备结构工程师、建筑工程师、暖通工程师、给排水工程师、装饰装修工程师、电气工程师、造价工程师各一名外，每增加一名上述专业的注册工程师加1分，最高不超过8分。（且在本项目服务期内不得更换）），人员充足，相关技能专业经验丰富且具备相关职称证书，提供拟投入人员的履历和有效的证明材料（包括但不限人员身份证、学历证书、职称证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项目组人员构成人员情况表.docx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供应商提供自2022年1月1日以来类似设计项目业绩证明材料，每提供1项得2分，本项最多得10分。 未提供的或所提供资料不符合要求的不得分。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最终提交的设计成果内容及形式满足采购人要求。 1、完全满足项目需求，无瑕疵：2分； 2、存在1处瑕疵：1分； 3、未提供方案或存在2处及以上瑕疵：0分。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详见附件：项目组人员构成人员情况表.docx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详见附件：项目设计负责人简历表.docx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