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版本号：GCZB2025-09-179-W20250916002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附属中学桃园校区校园路面维修改造项目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GCZB2025-09-179-W</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附属中学桃园校区校园路面维修改造项目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GCZB2025-09-179-W</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附属中学桃园校区校园路面维修改造项目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西北大学附属中学桃园校区校园路面维修改造项目，具体内容详见第三章技术、服务标准和要求。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采购包1（西北大学附属中学桃园校区校园路面维修改造项目）：属于专门面向中小企业采购。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2、财务状况：提供 2024 年度经第三方会计事务所审计过的财务报告，或磋商截止时间前 90 天内基本账户银行出具的资信证明。注：①提供财务报告的，附件须完整（以审计报告附件为准）。 ②提供资信证明的，必须提供资信证明全部页以及基本户信息（提供开户许可证或提供基本银行 账户信息）。银行出具的存款证明不能代替资信证明，存款证明无效；</w:t>
      </w:r>
    </w:p>
    <w:p>
      <w:pPr>
        <w:pStyle w:val="null3"/>
      </w:pPr>
      <w:r>
        <w:rPr>
          <w:rFonts w:ascii="仿宋_GB2312" w:hAnsi="仿宋_GB2312" w:cs="仿宋_GB2312" w:eastAsia="仿宋_GB2312"/>
        </w:rPr>
        <w:t>3、税收缴纳证明：提供 2025 年 1 月 1 日至今至少一个月依法纳税的相关凭证（任意税种）。注：依法免税或无须缴纳税收的应提供说明，零报税的提供申报成功的凭证；成立不足一个月的提供将依法纳税的承诺书（格式自拟）；时间以税款所属时段为准；</w:t>
      </w:r>
    </w:p>
    <w:p>
      <w:pPr>
        <w:pStyle w:val="null3"/>
      </w:pPr>
      <w:r>
        <w:rPr>
          <w:rFonts w:ascii="仿宋_GB2312" w:hAnsi="仿宋_GB2312" w:cs="仿宋_GB2312" w:eastAsia="仿宋_GB2312"/>
        </w:rPr>
        <w:t>4、社会保障资金缴纳证明：提供 2025 年 1 月 1 日至今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8、建筑资质：具备建设行政主管部门核发的建筑工程施工总承包三级及以上资质或市政公用工程施工总承包三级及以上资质；</w:t>
      </w:r>
    </w:p>
    <w:p>
      <w:pPr>
        <w:pStyle w:val="null3"/>
      </w:pPr>
      <w:r>
        <w:rPr>
          <w:rFonts w:ascii="仿宋_GB2312" w:hAnsi="仿宋_GB2312" w:cs="仿宋_GB2312" w:eastAsia="仿宋_GB2312"/>
        </w:rPr>
        <w:t>9、安全生产许可证：具备有效的安全生产许可证；</w:t>
      </w:r>
    </w:p>
    <w:p>
      <w:pPr>
        <w:pStyle w:val="null3"/>
      </w:pPr>
      <w:r>
        <w:rPr>
          <w:rFonts w:ascii="仿宋_GB2312" w:hAnsi="仿宋_GB2312" w:cs="仿宋_GB2312" w:eastAsia="仿宋_GB2312"/>
        </w:rPr>
        <w:t>10、项目经理：拟派项目经理须具备建筑工程专业二级（含二级）及以上建造师资格或市政公用工程二级建造师(含二级)以上建造师资格，同时具备有效的安全生产考核合格证（建安B证），且无在建项目（提供无在建工程承诺书）；</w:t>
      </w:r>
    </w:p>
    <w:p>
      <w:pPr>
        <w:pStyle w:val="null3"/>
      </w:pPr>
      <w:r>
        <w:rPr>
          <w:rFonts w:ascii="仿宋_GB2312" w:hAnsi="仿宋_GB2312" w:cs="仿宋_GB2312" w:eastAsia="仿宋_GB2312"/>
        </w:rPr>
        <w:t>11、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12、直接控股、管理关系：单位负责人为同一人或存在直接控股、管理关系的不同单位，不得同时参加本项目投标活动。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王璐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A100303 水泥混凝土制品，A10030301 商品混凝土，依据标准：HJ/T412 预拌混凝土</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采购包1保证金金额：27,200.00元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；退还方式：工程竣工验收合格后凭收据和验收单复印件无息退还。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 20% 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踏勘时间：2025-09-22 10:00:00</w:t>
            </w:r>
          </w:p>
          <w:p>
            <w:pPr>
              <w:pStyle w:val="null3"/>
              <w:ind w:firstLine="975"/>
            </w:pPr>
            <w:r>
              <w:rPr>
                <w:rFonts w:ascii="仿宋_GB2312" w:hAnsi="仿宋_GB2312" w:cs="仿宋_GB2312" w:eastAsia="仿宋_GB2312"/>
              </w:rPr>
              <w:t>踏勘地点：西北大学附属中学桃园校区</w:t>
            </w:r>
          </w:p>
          <w:p>
            <w:pPr>
              <w:pStyle w:val="null3"/>
              <w:ind w:firstLine="975"/>
            </w:pPr>
            <w:r>
              <w:rPr>
                <w:rFonts w:ascii="仿宋_GB2312" w:hAnsi="仿宋_GB2312" w:cs="仿宋_GB2312" w:eastAsia="仿宋_GB2312"/>
              </w:rPr>
              <w:t>联系人：张老师</w:t>
            </w:r>
          </w:p>
          <w:p>
            <w:pPr>
              <w:pStyle w:val="null3"/>
              <w:ind w:firstLine="975"/>
            </w:pPr>
            <w:r>
              <w:rPr>
                <w:rFonts w:ascii="仿宋_GB2312" w:hAnsi="仿宋_GB2312" w:cs="仿宋_GB2312" w:eastAsia="仿宋_GB2312"/>
              </w:rPr>
              <w:t>联系电话号码：15229257205</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符合国家相关质量要求及验收标准。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联系电话：029-88899363（549470923@qq.com）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1,369,000.00</w:t>
      </w:r>
    </w:p>
    <w:p>
      <w:pPr>
        <w:pStyle w:val="null3"/>
      </w:pPr>
      <w:r>
        <w:rPr>
          <w:rFonts w:ascii="仿宋_GB2312" w:hAnsi="仿宋_GB2312" w:cs="仿宋_GB2312" w:eastAsia="仿宋_GB2312"/>
        </w:rPr>
        <w:t>采购包最高限价（元）: 1,369,000.00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附属中学桃园校区校园路面维修改造项目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1,369,000.00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标的名称：附属中学桃园校区校园路面维修改造项目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采购需求：</w:t>
            </w:r>
          </w:p>
          <w:p>
            <w:pPr>
              <w:pStyle w:val="null3"/>
              <w:jc w:val="both"/>
            </w:pPr>
            <w:r>
              <w:rPr>
                <w:rFonts w:ascii="仿宋_GB2312" w:hAnsi="仿宋_GB2312" w:cs="仿宋_GB2312" w:eastAsia="仿宋_GB2312"/>
                <w:sz w:val="21"/>
              </w:rPr>
              <w:t>根据校园旧路的实际破损程度出发，通过分析维修改造的具体施工方法，保证在节约工程成本的基础上，做好校园路面的维修改造工作，以此保证校园道路环境安全、提升校园环境，提供学校师生一个良好安全的学习和工作环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施工范围：</w:t>
            </w:r>
          </w:p>
          <w:p>
            <w:pPr>
              <w:pStyle w:val="null3"/>
              <w:jc w:val="both"/>
            </w:pPr>
            <w:r>
              <w:rPr>
                <w:rFonts w:ascii="仿宋_GB2312" w:hAnsi="仿宋_GB2312" w:cs="仿宋_GB2312" w:eastAsia="仿宋_GB2312"/>
                <w:sz w:val="21"/>
              </w:rPr>
              <w:t>1、原水泥路面表层砸除；2、原破损台阶砸除；3、砸除原320砖砌围墙；4、新安装混凝土道沿；5、新做混凝土垫层等。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实施要求：</w:t>
            </w:r>
          </w:p>
          <w:p>
            <w:pPr>
              <w:pStyle w:val="null3"/>
            </w:pPr>
            <w:r>
              <w:rPr>
                <w:rFonts w:ascii="仿宋_GB2312" w:hAnsi="仿宋_GB2312" w:cs="仿宋_GB2312" w:eastAsia="仿宋_GB2312"/>
              </w:rPr>
              <w:t>工程质量：合格。</w:t>
            </w:r>
          </w:p>
          <w:p>
            <w:pPr>
              <w:pStyle w:val="null3"/>
              <w:jc w:val="both"/>
            </w:pPr>
            <w:r>
              <w:rPr>
                <w:rFonts w:ascii="仿宋_GB2312" w:hAnsi="仿宋_GB2312" w:cs="仿宋_GB2312" w:eastAsia="仿宋_GB2312"/>
                <w:sz w:val="21"/>
              </w:rPr>
              <w:t>安全文明：严格按照安全文明施工标准进行管理，全封闭施工，严格执行施工规范、安全操作规程、防火安全规定、环境保护规定。</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single"/>
                <w:left w:val="single"/>
                <w:bottom w:val="single"/>
                <w:right w:val="single"/>
                <w:insideH w:val="single"/>
                <w:insideV w:val="single"/>
              </w:tblBorders>
            </w:tblPr>
            <w:tblGrid>
              <w:gridCol w:w="144"/>
              <w:gridCol w:w="720"/>
              <w:gridCol w:w="180"/>
              <w:gridCol w:w="220"/>
              <w:gridCol w:w="992"/>
              <w:gridCol w:w="288"/>
            </w:tblGrid>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工程名称</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项目特征</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备注</w:t>
                  </w: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一</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综合楼东侧广场</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原水泥路面表层砸除</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487.9</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路面新做30cm*60cm花岗岩石材地面</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487.9</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1.花岗岩                     2.3cm厚</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原破损台阶砸除（高400mm）</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红砖新砌筑台阶（高400mm）</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红砖表面水泥砂浆刮槽、压光</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二</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原值班室及东西侧路面道沿、新楼东侧道沿</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砸除原320砖砌围墙</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24.4</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拆除原值班室（3750*4200*2900）</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间</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砸除原值班室台阶（高400mm）</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值班室地面开挖至原地面高度（厚400mm）</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12.35</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公寓楼地面散水水泥砂浆修补</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0.6</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原围墙茬口贴100*100灰色瓷砖</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1.96</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拆除原有花砖</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735.9</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砸除原花砖混凝土垫层</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735.9</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拆除原有道沿（800*120*500）</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315.6</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新安装混凝土道沿（800*120*500）</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315.6</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拆除原有道沿（240*60*120）</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283.95</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新安装混凝土道沿（240*60*120）</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283.95</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地面三七灰土夯实（厚400mm）</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735.9</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新做混凝土垫层（厚100mm）</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735.9</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新铺贴花砖</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735.9</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原沥青路面表层沥青层砸除</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837.78</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路面新做50mm厚彩色沥青路面</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837.78</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1.基础找平                      2.沥青品种：细粒式，颜色待定                    3.厚度50mm                     4.铺洒底油2层                   5.铺筑碾压</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三</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校园路面、道沿、树坑、污水井等维修改造项目</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7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维修沥青路面</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1.基础找平                     2.沥青品种：细粒式              3.厚度80mm，两次摊铺              4.铺洒底油2层                   5.铺筑碾压</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原沥青路面做水性聚合物彩色面层</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w:t>
                  </w:r>
                </w:p>
              </w:tc>
              <w:tc>
                <w:tcPr>
                  <w:tcW w:type="dxa" w:w="99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1.基础沥青找平                      2.基础面层处理：整洁无裂缝              3.面层：水性聚合物喷涂，颜色待定                           4.厚度3mm                      </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校园内已坏道沿更换</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树坑平整、恢复</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污水井等下沉维修</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更换花砖250mm*250mm</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四</w:t>
                  </w:r>
                </w:p>
              </w:tc>
              <w:tc>
                <w:tcPr>
                  <w:tcW w:type="dxa" w:w="7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垃圾清运</w:t>
                  </w:r>
                </w:p>
              </w:tc>
              <w:tc>
                <w:tcPr>
                  <w:tcW w:type="dxa" w:w="1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m</w:t>
                  </w:r>
                  <w:r>
                    <w:rPr>
                      <w:rFonts w:ascii="仿宋_GB2312" w:hAnsi="仿宋_GB2312" w:cs="仿宋_GB2312" w:eastAsia="仿宋_GB2312"/>
                      <w:sz w:val="24"/>
                      <w:color w:val="000000"/>
                    </w:rPr>
                    <w:t>³</w:t>
                  </w:r>
                </w:p>
              </w:tc>
              <w:tc>
                <w:tcPr>
                  <w:tcW w:type="dxa" w:w="2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410.43</w:t>
                  </w:r>
                </w:p>
              </w:tc>
              <w:tc>
                <w:tcPr>
                  <w:tcW w:type="dxa" w:w="99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符合国家相关质量要求及验收标准。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（一）工期：合同签订后20日历天。 （二）质量保修期和缺陷责任期：验收合格后24个月。 （三）付款方式：本项目无预付款，工程竣工并达到验收标准后付至合同金额的80%；待学校审计后支付至审定金额的100%。但前期支付金额超过审定金额的成交人应当退还。不足审定金额的，采购人可以补足。 （四）违约责任：中标/成交供应商所交付工程不符合其投标承诺，存在偷工减料、以次充好情形的，采购人要求更换一次后仍不符合约定的，采购人有权解除采购合同，没收履约保证金，并将有关情况上报政府采购监管部门处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1、保证金退还: 1） 未中标单位：招标结束后，将根据所提供信息退还各投标单位保证金，无需亲自前来办理； 2） 成交单位：在采购合同签订并按规定交纳代理服务费后五个工作日内退还。（办理退保证金：需提供与甲方签订的合同原件的扫描件一份（pdf格式）发送至此邮箱（945990512@qq.com）,发送时务必备注项目名称+项目编号，发送成功后告知此联系方式：029-89286620-808）； 中标服务费查询请联系财务部：029-89286620转808。 2、为顺利推进政府采购电子化交易平台应用工作，供应商需要在线提交所有通过电子化交易平台实施的政府采购项目的响应文件，同时，线下提交响应文件正本壹份、副本壹份、电子版壹份（U盘一份，标明供应商名称，随正本密封）。若电子响应文件与纸质响应文件不一致的，以电子响应文件为准；若正本和副本不符，以正本为准。线下递交文件时间：详见本项目磋商公告文件截止时间；线下递交文件地点：西安市高新区高新一路5号正信大厦A座24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2024 年度经第三方会计事务所审计过的财务报告，或磋商截止时间前 90 天内基本账户银行出具的资信证明。注：①提供财务报告的，附件须完整（以审计报告附件为准）。 ②提供资信证明的，必须提供资信证明全部页以及基本户信息（提供开户许可证或提供基本银行 账户信息）。银行出具的存款证明不能代替资信证明，存款证明无效；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 2024 年度经第三方会计事务所审计过的财务报告，或磋商截止时间前 90 天内基本账户银行出具的资信证明。注：①提供财务报告的，附件须完整（以审计报告附件为准）。 ②提供资信证明的，必须提供资信证明全部页以及基本户信息（提供开户许可证或提供基本银行 账户信息）。银行出具的存款证明不能代替资信证明，存款证明无效；</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2025 年 1 月 1 日至今至少一个月依法纳税的相关凭证（任意税种）。注：依法免税或无须缴纳税收的应提供说明，零报税的提供申报成功的凭证；成立不足一个月的提供将依法纳税的承诺书（格式自拟）；时间以税款所属时段为准；</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 2025 年 1 月 1 日至今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建筑资质</w:t>
            </w:r>
          </w:p>
        </w:tc>
        <w:tc>
          <w:tcPr>
            <w:tcW w:type="dxa" w:w="3322"/>
          </w:tcPr>
          <w:p>
            <w:pPr>
              <w:pStyle w:val="null3"/>
            </w:pPr>
            <w:r>
              <w:rPr>
                <w:rFonts w:ascii="仿宋_GB2312" w:hAnsi="仿宋_GB2312" w:cs="仿宋_GB2312" w:eastAsia="仿宋_GB2312"/>
              </w:rPr>
              <w:t>具备建设行政主管部门核发的建筑工程施工总承包三级及以上资质或市政公用工程施工总承包三级及以上资质；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具备有效的安全生产许可证；</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级（含二级）及以上建造师资格或市政公用工程二级建造师(含二级)以上建造师资格，同时具备有效的安全生产考核合格证（建安B证），且无在建项目（提供无在建工程承诺书）；</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2投标人资格证明文件.docx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响应文件封面 2投标人资格证明文件.docx 3响应偏差表及商务响应说明.docx 1报价表.docx 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（1）响应报价表填写符合要求； （2）计量单位、报价货币均符合谈判文件要求； （3）投标报价未超出采购预算或招标文件规定的最高限价。</w:t>
            </w:r>
          </w:p>
        </w:tc>
        <w:tc>
          <w:tcPr>
            <w:tcW w:type="dxa" w:w="1661"/>
          </w:tcPr>
          <w:p>
            <w:pPr>
              <w:pStyle w:val="null3"/>
            </w:pPr>
            <w:r>
              <w:rPr>
                <w:rFonts w:ascii="仿宋_GB2312" w:hAnsi="仿宋_GB2312" w:cs="仿宋_GB2312" w:eastAsia="仿宋_GB2312"/>
              </w:rPr>
              <w:t>已标价工程量清单 1报价表.docx 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无其他磋商文件或法规明确规定投标无效的事项</w:t>
            </w:r>
          </w:p>
        </w:tc>
        <w:tc>
          <w:tcPr>
            <w:tcW w:type="dxa" w:w="3322"/>
          </w:tcPr>
          <w:p>
            <w:pPr>
              <w:pStyle w:val="null3"/>
            </w:pPr>
            <w:r>
              <w:rPr>
                <w:rFonts w:ascii="仿宋_GB2312" w:hAnsi="仿宋_GB2312" w:cs="仿宋_GB2312" w:eastAsia="仿宋_GB2312"/>
              </w:rPr>
              <w:t>没有不符合磋商文件规定的被视为无效投标的其他条款。</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1.施工组织方案 （1）施工组织方案详细、各部分措施具体，可行性强，得1.5分； （2）施工组织方案较为详细、各部分措施较为具体，有一定可行性，得1分； （3）施工组织方案简陋、仅有基本的描述，可行性差，得0.5分。 2.工程质量保证措施 （1）工程质量保证措施详细、完整、可行性强，得1.5分； （2）质量保证措施较为详细、基本完整、有一定可行性，得1分； （3）工程质量保证措施简陋、仅有基本的描述，可行性差，得0.5分。 3.安全生产组织措施 （1）安全生产组织措施详细、完整、可行性强，得1.5分； （2）安全生产组织措施较为详细、基本完整、有一定可行性，得1分； （3）安全生产组织措施简陋、仅有基本的描述，可行性差，得0.5分。 4.文明施工措施 （1）文明施工措施详细、完整、可行性强，得1.5分； （2）文明施工措施较为详细、基本完整、有一定可行性，得1分； （3）文明施工措施简陋、仅有基本的描述，可行性差，得0.5分。 5.拟派施工项目部 （1）施工项目部组织架构清晰，分工明确，责任清晰，专业作业队配置齐全、详细得1.5分； （2）施工项目部组织架构基本清晰，分工较为明确，责任相对清晰，专业作业队配置较为齐全得1分； （3）内容简陋、仅有基本的描述，不能满足项目需要得0.5分。 6.施工机械设备配备计划 （1）主要机械设备配备齐全、合理，完全满足项目实施需要得1.5分； （2）主要机械设备配备相对齐全、合理，基本满足项目实施需要得1分； （3）内容简陋、仅有基本的描述，不能满足项目需要得0.5分。 7.劳动力安排计划 （1）劳动力安排详细、合理，完全满足项目实施需要得1.5分； （2）劳动力安排较为详细、合理，基本满足项目实施需要得1分； （3）内容简陋、仅有基本的描述，不能满足项目需要得0.5分。 8.工程进度计划及措施 （1）工期满足采购要求，提供工程进度表或施工网络图以及详细的措施，工期控制连贯、清晰、合理、规范，得1.5分； （2）工期满足采购要求，提供工程进度表或施工网络图以及基本的措施，工期控制较为连贯、清晰、合理、规范，得1分； （3）工期满足采购要求，但未提供工程进度表或施工网络图以及措施，工期控制不连贯、不清晰、不合理、不规范，得0.5分。 注：以上各项未提供不得分。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路面维修施工技术措施</w:t>
            </w:r>
          </w:p>
        </w:tc>
        <w:tc>
          <w:tcPr>
            <w:tcW w:type="dxa" w:w="2492"/>
          </w:tcPr>
          <w:p>
            <w:pPr>
              <w:pStyle w:val="null3"/>
            </w:pPr>
            <w:r>
              <w:rPr>
                <w:rFonts w:ascii="仿宋_GB2312" w:hAnsi="仿宋_GB2312" w:cs="仿宋_GB2312" w:eastAsia="仿宋_GB2312"/>
              </w:rPr>
              <w:t>1.供应商应根据自身实力、经验以及工程实际情况提供路面维修施工技术措施，不限于施工前准备、细部节点处理、质量控制、常见问题预防。 （1）内容完整、详细、措施具体、能有效满足路面维修需要得3分； （2）内容相对完整、较为详细、措施相对具体、基本能满足路面维修需要得2分； （3）内容、措施简陋，无法保证满足路面维修需要得1分； 注：未提供不得分。 2.提供路面维修做法详图 （1）图面清晰、细部节点完整得3分； （2）图面较为清晰、细部节点相对完整得2分； （3）图面潦草、缺乏细部节点得1分； 注：未提供不得分。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主要材料选型</w:t>
            </w:r>
          </w:p>
        </w:tc>
        <w:tc>
          <w:tcPr>
            <w:tcW w:type="dxa" w:w="2492"/>
          </w:tcPr>
          <w:p>
            <w:pPr>
              <w:pStyle w:val="null3"/>
            </w:pPr>
            <w:r>
              <w:rPr>
                <w:rFonts w:ascii="仿宋_GB2312" w:hAnsi="仿宋_GB2312" w:cs="仿宋_GB2312" w:eastAsia="仿宋_GB2312"/>
              </w:rPr>
              <w:t>供应商需提供主要材料清单及主要材料选型说明。 1.主要材料清单品目完整，品牌明确得2分。 注：未提供不得分。 2.提供主要材料选型说明 （1）选型说明详细，产品符合项目特征，资料齐全得3分； （2）有基本的选型说明，产品基本符合项目特征，资料齐全得2分； （3）选型说明简陋，产品不完全符合项目特征得1分； 注：未提供不得分。 3.提供市场调研情况说明 （1）调研情况说明详细且所选材料为主流产品的得5分； （2）调研情况说明相对详细且所选材料为主流产品的得3分； （3）调研情况说明简陋、或所选材料为非主流产品的得1分； 未提供不得分。 4.主要材料来源及质量保证措施 （1）主要材料来源清晰，质量保证措施详细、完整，能有效保证主要材料质量得3分； （2）主要材料来源基本清晰，质量保证措施较为详细、完整，基本能保证主要材料质量得2分； （3）主要材料来源模糊，质量保证措施简陋，无法保证主要材料质量得1分； 注：未提供不得分。 5.拟投入的主要材料，具有环境标志认证证书的，每个产品得1分，最高2分。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1.项目经理具有工程类高级及以上职称的得2分，中级职称的得1分，其他的不得分。注：需提供身份证、职称证。 2.项目经理具有类似项目经验，每提供1份2022年1月1日至今业绩得1分，最高2分。注：需提供合同或验收报告或中标公告截图，且合同或验收报告或中标公告截图中能显示项目经理的名字。</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在基础质保期（2年）的基础上，每增加1年得1分，最高4分。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p>
            <w:pPr>
              <w:pStyle w:val="null3"/>
            </w:pPr>
            <w:r>
              <w:rPr>
                <w:rFonts w:ascii="仿宋_GB2312" w:hAnsi="仿宋_GB2312" w:cs="仿宋_GB2312" w:eastAsia="仿宋_GB2312"/>
              </w:rPr>
              <w:t>1报价表.docx</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供应商需根据自身实力和项目特点提供针对性的维保方案。 1.提供详细的维保人员名单，联系电话，并提供7X24小时服务响应的书面承诺得1分。（承诺书格式自拟） 2.维保方案（包括但不限于维保内容、维保方式、巡检等） （1）方案内容详细，措施具体，可行性强得3分； （2）方案内容较为详细，措施相对具体，有一定的可行性得2分； （3）方案内容简陋，缺乏措施，可行性差得1分； 注：未提供不得分。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提供2022年1月1日至今(以合同签订日期为准)类似项目业绩，以合同扫描件加盖公章为准。每提供1份得1分，最多5分，未提供得0分。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详见附件：西北大学附属中学桃园校区校园路面维修改造项目合同模板（采购单位已确认版本）.docx.docx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