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版本号：ZFFZ-2025-15120251011002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陕西项目管理服务数字化平台扩建（重点项目“四个一批”管理系统建设）项目定制软件开发</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ZFFZ-2025-151</w:t>
      </w:r>
      <w:r>
        <w:br/>
      </w:r>
      <w:r>
        <w:br/>
      </w:r>
      <w:r>
        <w:br/>
      </w:r>
    </w:p>
    <w:p>
      <w:pPr>
        <w:pStyle w:val="null3"/>
        <w:jc w:val="center"/>
        <w:outlineLvl w:val="2"/>
      </w:pPr>
      <w:r>
        <w:rPr>
          <w:rFonts w:ascii="仿宋_GB2312" w:hAnsi="仿宋_GB2312" w:cs="仿宋_GB2312" w:eastAsia="仿宋_GB2312"/>
          <w:sz w:val="28"/>
          <w:b/>
        </w:rPr>
        <w:t>陕西省发展和改革委员会机关</w:t>
      </w:r>
    </w:p>
    <w:p>
      <w:pPr>
        <w:pStyle w:val="null3"/>
        <w:jc w:val="center"/>
        <w:outlineLvl w:val="2"/>
      </w:pPr>
      <w:r>
        <w:rPr>
          <w:rFonts w:ascii="仿宋_GB2312" w:hAnsi="仿宋_GB2312" w:cs="仿宋_GB2312" w:eastAsia="仿宋_GB2312"/>
          <w:sz w:val="28"/>
          <w:b/>
        </w:rPr>
        <w:t>陕西中发项目管理发展有限公司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陕西中发项目管理发展有限公司</w:t>
      </w:r>
      <w:r>
        <w:rPr>
          <w:rFonts w:ascii="仿宋_GB2312" w:hAnsi="仿宋_GB2312" w:cs="仿宋_GB2312" w:eastAsia="仿宋_GB2312"/>
        </w:rPr>
        <w:t>（以下简称“代理机构”）受</w:t>
      </w:r>
      <w:r>
        <w:rPr>
          <w:rFonts w:ascii="仿宋_GB2312" w:hAnsi="仿宋_GB2312" w:cs="仿宋_GB2312" w:eastAsia="仿宋_GB2312"/>
        </w:rPr>
        <w:t>陕西省发展和改革委员会机关</w:t>
      </w:r>
      <w:r>
        <w:rPr>
          <w:rFonts w:ascii="仿宋_GB2312" w:hAnsi="仿宋_GB2312" w:cs="仿宋_GB2312" w:eastAsia="仿宋_GB2312"/>
        </w:rPr>
        <w:t>委托，拟对</w:t>
      </w:r>
      <w:r>
        <w:rPr>
          <w:rFonts w:ascii="仿宋_GB2312" w:hAnsi="仿宋_GB2312" w:cs="仿宋_GB2312" w:eastAsia="仿宋_GB2312"/>
        </w:rPr>
        <w:t>陕西项目管理服务数字化平台扩建（重点项目“四个一批”管理系统建设）项目定制软件开发</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ZFFZ-2025-151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陕西项目管理服务数字化平台扩建（重点项目“四个一批”管理系统建设）项目定制软件开发</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委托第三方开展陕西项目管理服务数字化平台扩建（重点项目“四个一批”管理系统建设）项目。建设内容涉及陕西项目管理服务数字化平台扩建（重点项目“四个一批”管理系统建设）项目建设和系统对接两方面。主要功能或目标:建设重点项目“四个一批”全生命周期管理系统，实现从项目前期谋划、储备推进到开工建设、竣工投产的全过程动态监测和精细化管理。通过强化要素资源保障、加强项目调度、完善督导考核、实现问题闭环解决，提高项目管理向数字化、智能化水平，推动重点项目建设提速增效，为全省经济社会高质量发展提供坚实支撑。需满足的要求:1.陕西项目管理服务数字化平台扩建（重点项目“四个一批”管理系统建设）项目建设。建设“谋划一批、储备一批、开工一批、投产一批”项目管理、年度建设项目管理、五年规划重大项目管理、招商引资签约项目管理、要素保障管理、项目考核评价等模块，实现项目调度、项目档案、项目地图、指挥中心（数据智屏）、数据统计分析、进展跟踪、领导批示反馈、问题协调等功能，提升项目服务管理的精准性、及时性和有效性。2.系统对接。与陕西省投资项目在线审批监管平台、与地市7家系统完成对接；具备标准化接口，能够支撑其他应用对接。</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采购包1（陕西项目管理服务数字化平台扩建（重点项目“四个一批”管理系统建设）项目定制软件开发）：属于专门面向中小企业采购。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开标前六个月内基本开户银行出具的资信证明。（以上两种形式的资料提供任何一种即可）</w:t>
      </w:r>
    </w:p>
    <w:p>
      <w:pPr>
        <w:pStyle w:val="null3"/>
      </w:pPr>
      <w:r>
        <w:rPr>
          <w:rFonts w:ascii="仿宋_GB2312" w:hAnsi="仿宋_GB2312" w:cs="仿宋_GB2312" w:eastAsia="仿宋_GB2312"/>
        </w:rPr>
        <w:t>3、社保缴纳证明：提供递交投标文件截止之日前六个月内任意一个月的社会保障资金缴存单据或社保机构开具的社会保险参保缴费情况证明。依法不需要缴纳社会保障资金的供应商应提供相关文件证明。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税收缴纳证明：提供递交投标文件截止之日前六个月内任意一个月的依法缴纳税收的相关凭据（时间以税款所属日期为准、税种须同时包含增值税和企业所得税），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5、信用记录：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6、控股管理关系：提供直接控股和管理关系清单。若与其他投标人存在单位负责人为同一人或者存在直接控股、管理关系的，则投标无效。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7、书面声明：提供书面声明，包括声明具有履行合同所必需的设备和专业技术能力；未为本项目提供整体设计、规范编制或者项目管理、监理、检测等服务。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8、法定代表人授权委托书：法定代表人参加投标的，须提供本人身份证复印件及近三个月社保参保证明（附在资格证明文件中）；法定代表人授权他人参加投标的，须提供法定代表人授权委托书及被授权人近三个月社保参保证明（按格式填写，提供原件）。</w:t>
      </w:r>
    </w:p>
    <w:p>
      <w:pPr>
        <w:pStyle w:val="null3"/>
      </w:pPr>
      <w:r>
        <w:rPr>
          <w:rFonts w:ascii="仿宋_GB2312" w:hAnsi="仿宋_GB2312" w:cs="仿宋_GB2312" w:eastAsia="仿宋_GB2312"/>
        </w:rPr>
        <w:t>9、联合要求：本项目不接受联合体投标。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陕西省发展和改革委员会机关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陕西省发展和改革委员会机关经办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15229353367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陕西中发项目管理发展有限公司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陕西省西安市碑林区和平路108号佳腾大厦10901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刘正琴、王婉思、刘超瑛、宋潇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029-88660760 18392578032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采购包1：3,903,328.00元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代理服务费收费标准：参考国家计委《关于印发&lt;招标代理服务收费管理暂行办法&gt;的通知》（计价格【2002】1980号）文件规定的代理服务收费标准收取。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陕西省发展和改革委员会机关</w:t>
      </w:r>
      <w:r>
        <w:rPr>
          <w:rFonts w:ascii="仿宋_GB2312" w:hAnsi="仿宋_GB2312" w:cs="仿宋_GB2312" w:eastAsia="仿宋_GB2312"/>
        </w:rPr>
        <w:t>和</w:t>
      </w:r>
      <w:r>
        <w:rPr>
          <w:rFonts w:ascii="仿宋_GB2312" w:hAnsi="仿宋_GB2312" w:cs="仿宋_GB2312" w:eastAsia="仿宋_GB2312"/>
        </w:rPr>
        <w:t>陕西中发项目管理发展有限公司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陕西省发展和改革委员会机关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陕西中发项目管理发展有限公司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陕西省发展和改革委员会机关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陕西中发项目管理发展有限公司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系统的验收和交付按照陕政数据〔2023〕6号文关于印发省级政务信息化项目竣工验收管理办法（试行）的要求执行。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陕西中发项目管理发展有限公司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陕西中发项目管理发展有限公司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陕西中发项目管理发展有限公司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联系人：刘老师</w:t>
      </w:r>
    </w:p>
    <w:p>
      <w:pPr>
        <w:pStyle w:val="null3"/>
      </w:pPr>
      <w:r>
        <w:rPr>
          <w:rFonts w:ascii="仿宋_GB2312" w:hAnsi="仿宋_GB2312" w:cs="仿宋_GB2312" w:eastAsia="仿宋_GB2312"/>
        </w:rPr>
        <w:t>联系电话：029-88660760</w:t>
      </w:r>
    </w:p>
    <w:p>
      <w:pPr>
        <w:pStyle w:val="null3"/>
      </w:pPr>
      <w:r>
        <w:rPr>
          <w:rFonts w:ascii="仿宋_GB2312" w:hAnsi="仿宋_GB2312" w:cs="仿宋_GB2312" w:eastAsia="仿宋_GB2312"/>
        </w:rPr>
        <w:t>地址：陕西省西安市碑林区长安北路14号体教公寓B座10101</w:t>
      </w:r>
    </w:p>
    <w:p>
      <w:pPr>
        <w:pStyle w:val="null3"/>
      </w:pPr>
      <w:r>
        <w:rPr>
          <w:rFonts w:ascii="仿宋_GB2312" w:hAnsi="仿宋_GB2312" w:cs="仿宋_GB2312" w:eastAsia="仿宋_GB2312"/>
        </w:rPr>
        <w:t>邮编：710001</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委托第三方开展陕西项目管理服务数字化平台扩建（重点项目“四个一批”管理系统建设）项目。建设内容涉及陕西项目管理服务数字化平台扩建（重点项目“四个一批”管理系统建设）项目建设和系统对接两方面。主要功能或目标:建设重点项目“四个一批”全生命周期管理系统，实现从项目前期谋划、储备推进到开工建设、竣工投产的全过程动态监测和精细化管理。通过强化要素资源保障、加强项目调度、完善督导考核、实现问题闭环解决，提高项目管理向数字化、智能化水平，推动重点项目建设提速增效，为全省经济社会高质量发展提供坚实支撑。需满足的要求:1.陕西项目管理服务数字化平台扩建（重点项目“四个一批”管理系统建设）项目建设。建设“谋划一批、储备一批、开工一批、投产一批”项目管理、年度建设项目管理、五年规划重大项目管理、招商引资签约项目管理、要素保障管理、项目考核评价等模块，实现项目调度、项目档案、项目地图、指挥中心（数据智屏）、数据统计分析、进展跟踪、领导批示反馈、问题协调等功能，提升项目服务管理的精准性、及时性和有效性。2.系统对接。与陕西省投资项目在线审批监管平台、与地市7家系统完成对接；具备标准化接口，能够支撑其他应用对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3,903,328.00</w:t>
      </w:r>
    </w:p>
    <w:p>
      <w:pPr>
        <w:pStyle w:val="null3"/>
      </w:pPr>
      <w:r>
        <w:rPr>
          <w:rFonts w:ascii="仿宋_GB2312" w:hAnsi="仿宋_GB2312" w:cs="仿宋_GB2312" w:eastAsia="仿宋_GB2312"/>
        </w:rPr>
        <w:t>采购包最高限价（元）: 3,903,328.00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3903328</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3,903,328.00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标的名称：3903328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rPr>
              <w:t>2023年，按照省委、省政府召开全省高质量项目推进年、营商环境突破年、干部作风能力提升年“三个年”活动要求，为了高质量推进项目建设，必须围绕项目建设和招商引资，狠抓谋划、狠抓储备、狠抓要素保障、狠抓建设和竣工投产，按照“四个一批”全生命周期管理的要求，在省发改委建立重点项目全生命周期管理系统，通过与工信厅、商务厅、自然资源厅、生态环境厅等省级有关部门加强协作，提升项目储备的系统化、集成化水平，提升项目全生命周期管理的工作效率，促进项目早落地、快建设、早投产。</w:t>
            </w:r>
          </w:p>
          <w:p>
            <w:pPr>
              <w:pStyle w:val="null3"/>
              <w:ind w:firstLine="400"/>
              <w:jc w:val="both"/>
            </w:pPr>
            <w:r>
              <w:rPr>
                <w:rFonts w:ascii="仿宋_GB2312" w:hAnsi="仿宋_GB2312" w:cs="仿宋_GB2312" w:eastAsia="仿宋_GB2312"/>
              </w:rPr>
              <w:t>原有重点项目管理系统虽然达到了原项目设计的预期目标，但随着省委、省政府加强重点项目“四个一批”全生命周期管理要求的进一步推进和落实，项目管理业务流程发生了根本性变化，大量的管理工作业务须依赖人工开展。为提升工作效率，须通过数字化、信息化等现代化手段，按照新的管理工作模式建立一套相对完善的重点项目“四个一批”管理系统，满足项目管理工作的要求。</w:t>
            </w:r>
          </w:p>
          <w:p>
            <w:pPr>
              <w:pStyle w:val="null3"/>
              <w:ind w:firstLine="400"/>
              <w:jc w:val="both"/>
            </w:pPr>
            <w:r>
              <w:rPr>
                <w:rFonts w:ascii="仿宋_GB2312" w:hAnsi="仿宋_GB2312" w:cs="仿宋_GB2312" w:eastAsia="仿宋_GB2312"/>
              </w:rPr>
              <w:t>按照“省级统筹、数据汇聚、分级上报”的总体原则，重点项目“四个一批”管理系统由省级发展和改革委员会统筹建设和管理，完成省级项目管理，对地市进行项目信息汇聚。</w:t>
            </w:r>
          </w:p>
          <w:p>
            <w:pPr>
              <w:pStyle w:val="null3"/>
              <w:ind w:firstLine="400"/>
              <w:jc w:val="both"/>
            </w:pPr>
            <w:r>
              <w:rPr>
                <w:rFonts w:ascii="仿宋_GB2312" w:hAnsi="仿宋_GB2312" w:cs="仿宋_GB2312" w:eastAsia="仿宋_GB2312"/>
              </w:rPr>
              <w:t>重点项目“四个一批”管理系统应用在省级集中部署，按照用户管理要求业务范围和需求，配置不同的业务分类和权限分级，包括省市县三级发改部门、要素保障部门以及行业主管部门。省发改委对省级重点项目有项目审核、项目调度、项目督办等管理权限，对地市重点项目主要有信息汇集、查询权限；市县发改部门主要进行项目基本信息、进展情况填报；行业主管部门主要对上报的本行业项目进行把关审核，上报本行业跨区域或主导建设的省级项目；要素保障部门主要核实项目手续办理进展情况。</w:t>
            </w:r>
          </w:p>
          <w:p>
            <w:pPr>
              <w:pStyle w:val="null3"/>
              <w:jc w:val="both"/>
            </w:pPr>
            <w:r>
              <w:rPr>
                <w:rFonts w:ascii="仿宋_GB2312" w:hAnsi="仿宋_GB2312" w:cs="仿宋_GB2312" w:eastAsia="仿宋_GB2312"/>
              </w:rPr>
              <w:t>系统应满足以下业务需求:</w:t>
            </w:r>
          </w:p>
          <w:p>
            <w:pPr>
              <w:pStyle w:val="null3"/>
              <w:ind w:firstLine="200"/>
              <w:jc w:val="left"/>
            </w:pPr>
            <w:r>
              <w:rPr>
                <w:rFonts w:ascii="仿宋_GB2312" w:hAnsi="仿宋_GB2312" w:cs="仿宋_GB2312" w:eastAsia="仿宋_GB2312"/>
              </w:rPr>
              <w:t>（1）“四个一批”项目管理业务</w:t>
            </w:r>
          </w:p>
          <w:p>
            <w:pPr>
              <w:pStyle w:val="null3"/>
              <w:jc w:val="left"/>
            </w:pPr>
            <w:r>
              <w:rPr>
                <w:rFonts w:ascii="仿宋_GB2312" w:hAnsi="仿宋_GB2312" w:cs="仿宋_GB2312" w:eastAsia="仿宋_GB2312"/>
              </w:rPr>
              <w:t xml:space="preserve">“四个一批”项目管理业务，分申报库、谋划库、储备库、开工库和投产库，由地市发改委、相关厅局及投资主体对项目进行申报，省发改委进行对项目进行审核调度。  </w:t>
            </w:r>
          </w:p>
          <w:p>
            <w:pPr>
              <w:pStyle w:val="null3"/>
              <w:jc w:val="left"/>
            </w:pPr>
            <w:r>
              <w:rPr>
                <w:rFonts w:ascii="仿宋_GB2312" w:hAnsi="仿宋_GB2312" w:cs="仿宋_GB2312" w:eastAsia="仿宋_GB2312"/>
              </w:rPr>
              <w:t>申报项目来源包含项目投资主体申报、各地市发改局从预备库推送入申报库的招商引资签约项目、各厅局、各地市直接从申报库填报的项目。</w:t>
            </w:r>
          </w:p>
          <w:p>
            <w:pPr>
              <w:pStyle w:val="null3"/>
              <w:jc w:val="left"/>
            </w:pPr>
            <w:r>
              <w:rPr>
                <w:rFonts w:ascii="仿宋_GB2312" w:hAnsi="仿宋_GB2312" w:cs="仿宋_GB2312" w:eastAsia="仿宋_GB2312"/>
              </w:rPr>
              <w:t>按项目推进阶段分别填报入库：省发改委对申报入库的项目进行预审，省发改委项目办将通过预审的项目，按所属行业领域在系统中分别推送至省级行业主管部门、要素保障部门、委内各专业处室及黄河处、秦岭办、区域处等处室进行联合把关审核，明确项目是否可纳入省级“四个一批”重点项目。各行业主管部门、要素保障部门可在系统中将审核项目按所属地市转交至地市、县区相关部门审核，对不同意入库的项目说明原因，通过省级发改部门审核后纳入省级四个一批项目库。谋划项目库中的项目，可进行信息变更、标签标记、分配审核单位、转储备库申请等，按照项目的发展周期，进行转库申请。省级发改部门通过审核后，项目纳入储备项目库，同谋划项目库，可进行信息变更、标签标记、分配审核单位、转开工（在建）库申请等，省级发改部门通过审核后，项目纳入开工（在建）项目库中。在地市发改部门录入项目时，会申请是否纳入年度计划项目，纳入重点项目且开工的项目中，每月地市部门填报月度进展。省级发改部门按照项目进展情况监测项目进展并预警。</w:t>
            </w:r>
          </w:p>
          <w:p>
            <w:pPr>
              <w:pStyle w:val="null3"/>
              <w:jc w:val="left"/>
            </w:pPr>
            <w:r>
              <w:rPr>
                <w:rFonts w:ascii="仿宋_GB2312" w:hAnsi="仿宋_GB2312" w:cs="仿宋_GB2312" w:eastAsia="仿宋_GB2312"/>
              </w:rPr>
              <w:t>根据“四个一批”项目库数据，建立省级“四个一批”项目库、市级“四个一批”项目库、项目关注库、省级重大专题推进活动项目库、重点专项库等各类分库，通过对接陕西省投资项目在线审批监管平台、各地市“四个一批”管理平台、“秦政通”系统等关联系统，进行项目电子台账、投资主体、任务调度、地域分布、观摩日程安排、项目后评价、督办管理以及机构、用户、角色、行业、领域划分等项目有关的管理，并进行多维度分析，形成“四个一批”统计报表及图表，通过领导驾驶舱、首页分析展示“四个一批”项目流转情况及项目进度等各类分析数据。</w:t>
            </w:r>
          </w:p>
          <w:p>
            <w:pPr>
              <w:pStyle w:val="null3"/>
              <w:ind w:firstLine="200"/>
              <w:jc w:val="left"/>
            </w:pPr>
            <w:r>
              <w:rPr>
                <w:rFonts w:ascii="仿宋_GB2312" w:hAnsi="仿宋_GB2312" w:cs="仿宋_GB2312" w:eastAsia="仿宋_GB2312"/>
              </w:rPr>
              <w:t>（2）年度计划项目管理业务</w:t>
            </w:r>
          </w:p>
          <w:p>
            <w:pPr>
              <w:pStyle w:val="null3"/>
              <w:jc w:val="left"/>
            </w:pPr>
            <w:r>
              <w:rPr>
                <w:rFonts w:ascii="仿宋_GB2312" w:hAnsi="仿宋_GB2312" w:cs="仿宋_GB2312" w:eastAsia="仿宋_GB2312"/>
              </w:rPr>
              <w:t>年度计划项目管理业务需求分析，主要是由省级“四个一批”项目库转入。</w:t>
            </w:r>
          </w:p>
          <w:p>
            <w:pPr>
              <w:pStyle w:val="null3"/>
              <w:jc w:val="left"/>
            </w:pPr>
            <w:r>
              <w:rPr>
                <w:rFonts w:ascii="仿宋_GB2312" w:hAnsi="仿宋_GB2312" w:cs="仿宋_GB2312" w:eastAsia="仿宋_GB2312"/>
              </w:rPr>
              <w:t>由各厅局、地市发改部门对省级“四个一批”项目库发起转库申请，将项目暂存到年度计划申报库，再由省发改委进行审核项目，项目审核通过之后，年度计划申报的项目进入对应的年度计划项目库中，审核未通过的项目将从年度计划项目申报库中移除；年度计划项目库中按照对应的时间段进行月调度、半月调度以及周调度；可将年度计划项目和调度数据进行分析形成对应的统计分析以及数据导出。</w:t>
            </w:r>
          </w:p>
          <w:p>
            <w:pPr>
              <w:pStyle w:val="null3"/>
              <w:ind w:firstLine="200"/>
              <w:jc w:val="left"/>
            </w:pPr>
            <w:r>
              <w:rPr>
                <w:rFonts w:ascii="仿宋_GB2312" w:hAnsi="仿宋_GB2312" w:cs="仿宋_GB2312" w:eastAsia="仿宋_GB2312"/>
              </w:rPr>
              <w:t>（3）五年规划项目管理业务</w:t>
            </w:r>
          </w:p>
          <w:p>
            <w:pPr>
              <w:pStyle w:val="null3"/>
              <w:jc w:val="left"/>
            </w:pPr>
            <w:r>
              <w:rPr>
                <w:rFonts w:ascii="仿宋_GB2312" w:hAnsi="仿宋_GB2312" w:cs="仿宋_GB2312" w:eastAsia="仿宋_GB2312"/>
              </w:rPr>
              <w:t>五年规划项目管理业务，分申报库、筛选库、审核库、项目库，由厅局和地市部门对项目进行申报，省发改委进行项目审核。</w:t>
            </w:r>
          </w:p>
          <w:p>
            <w:pPr>
              <w:pStyle w:val="null3"/>
              <w:jc w:val="left"/>
            </w:pPr>
            <w:r>
              <w:rPr>
                <w:rFonts w:ascii="仿宋_GB2312" w:hAnsi="仿宋_GB2312" w:cs="仿宋_GB2312" w:eastAsia="仿宋_GB2312"/>
              </w:rPr>
              <w:t>每五年征集在五年内待建的重点项目，经审核后纳入五年规划项目库。各厅局、地市部门进行五年规划项目申报录入并上报到申报库，在申报库中省发改委先进行项目预审，预审过后的项目再由项目相关厅局进行联合把关，通过后的项目进入五年规划项目审核库；审核库中的项目由负责单位（厅局、地市）进行申请转库，省发改委审核通过后进入五年规划项目筛选库，筛选库中的项目由负责单位（厅局、地市）进行申请转库，省发改委审核通过后列为五年规划项目。可将五年规划项目情况进行分析形成对应的统计分析、看板和数据导出。</w:t>
            </w:r>
          </w:p>
          <w:p>
            <w:pPr>
              <w:pStyle w:val="null3"/>
              <w:ind w:firstLine="200"/>
              <w:jc w:val="left"/>
            </w:pPr>
            <w:r>
              <w:rPr>
                <w:rFonts w:ascii="仿宋_GB2312" w:hAnsi="仿宋_GB2312" w:cs="仿宋_GB2312" w:eastAsia="仿宋_GB2312"/>
              </w:rPr>
              <w:t>（4）招商引资签约项目管理业务需求</w:t>
            </w:r>
          </w:p>
          <w:p>
            <w:pPr>
              <w:pStyle w:val="null3"/>
              <w:jc w:val="left"/>
            </w:pPr>
            <w:r>
              <w:rPr>
                <w:rFonts w:ascii="仿宋_GB2312" w:hAnsi="仿宋_GB2312" w:cs="仿宋_GB2312" w:eastAsia="仿宋_GB2312"/>
              </w:rPr>
              <w:t>招商引资签约项目管理业务，省级商务部门对招商项目批量导入系统招商引资项目库，并同时推送至市级商务部门的招商引资项目库，市级商务部门根据项目类型进行信息补充并会同县级招商部门，以及市级各有关部门联合把关，对暂不需要推荐的项目入暂不推荐项目库，对推荐项目从招商引资项目库推送到市级发改部门进行审核，市级发改部门根据市级“四个一批”入库标准进行审核以后，对于不推荐项目退回到省市商务部门的招商引资库，推荐项目入市级“四个一批”项目库，然后发改部门根据省级“四个一批”入库标准对已入库市级“四个一批”项目库的招商项目进行审核，推荐项目直接进入到省级发改部门的省级“四个一批”申报库。可将招商引资签约项目情况进行分析形成对应的统计分析以及数据导出。</w:t>
            </w:r>
          </w:p>
          <w:p>
            <w:pPr>
              <w:pStyle w:val="null3"/>
              <w:ind w:firstLine="200"/>
              <w:jc w:val="left"/>
            </w:pPr>
            <w:r>
              <w:rPr>
                <w:rFonts w:ascii="仿宋_GB2312" w:hAnsi="仿宋_GB2312" w:cs="仿宋_GB2312" w:eastAsia="仿宋_GB2312"/>
              </w:rPr>
              <w:t>（5）要素保障管理业务需求</w:t>
            </w:r>
          </w:p>
          <w:p>
            <w:pPr>
              <w:pStyle w:val="null3"/>
              <w:jc w:val="left"/>
            </w:pPr>
            <w:r>
              <w:rPr>
                <w:rFonts w:ascii="仿宋_GB2312" w:hAnsi="仿宋_GB2312" w:cs="仿宋_GB2312" w:eastAsia="仿宋_GB2312"/>
              </w:rPr>
              <w:t>省级发改部门在系统中对已入库的“四个一批”项目根据手续类型推送至各厅局、省级要素保障相关部门，各厅局、省级要素保障部门可在系统中填报手续办理情况并统筹规划，将需要地市、区、县填报的交办至各市级、区县要素保障部门，分别入市级要素保障项目库以及区县要素保障项目库，各市级、区县部门根据手续办理情况在相关要素保障库填报并更新手续进展，系统自动反馈到省级发改部门“四个一批”项目库。可将要素保障情况进行分析形成对应的统计分析</w:t>
            </w:r>
          </w:p>
          <w:p>
            <w:pPr>
              <w:pStyle w:val="null3"/>
              <w:jc w:val="left"/>
            </w:pPr>
            <w:r>
              <w:rPr>
                <w:rFonts w:ascii="仿宋_GB2312" w:hAnsi="仿宋_GB2312" w:cs="仿宋_GB2312" w:eastAsia="仿宋_GB2312"/>
              </w:rPr>
              <w:t>以及数据导出。</w:t>
            </w:r>
          </w:p>
          <w:p>
            <w:pPr>
              <w:pStyle w:val="null3"/>
              <w:jc w:val="left"/>
            </w:pPr>
            <w:r>
              <w:rPr>
                <w:rFonts w:ascii="仿宋_GB2312" w:hAnsi="仿宋_GB2312" w:cs="仿宋_GB2312" w:eastAsia="仿宋_GB2312"/>
              </w:rPr>
              <w:t xml:space="preserve"> （6）项目问题管理业务需求</w:t>
            </w:r>
          </w:p>
          <w:p>
            <w:pPr>
              <w:pStyle w:val="null3"/>
              <w:jc w:val="left"/>
            </w:pPr>
            <w:r>
              <w:rPr>
                <w:rFonts w:ascii="仿宋_GB2312" w:hAnsi="仿宋_GB2312" w:cs="仿宋_GB2312" w:eastAsia="仿宋_GB2312"/>
              </w:rPr>
              <w:t>各厅局以及市级发改部门在项目问题汇总库选择相关项目并根据问题类型录入项目问题并上报省级发改部门，省级发改部门在项目问题汇总库对上报的问题予以审核，审核通过的问题推送到协调单位并纳入待解决问题库，协调单位包括厅局、处室根据推送提醒查看问题并研究解决，确认并予以解决的问题入问题记录库，确认未解决的问题反馈至待解决项目库。可将项目问题进行分析形成对应的统计分析、看板和数据导出。</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应用系统功能需求：</w:t>
            </w:r>
          </w:p>
          <w:p>
            <w:pPr>
              <w:pStyle w:val="null3"/>
              <w:numPr>
                <w:ilvl w:val="0"/>
                <w:numId w:val="1"/>
              </w:numPr>
              <w:jc w:val="both"/>
            </w:pPr>
            <w:r>
              <w:rPr>
                <w:rFonts w:ascii="仿宋_GB2312" w:hAnsi="仿宋_GB2312" w:cs="仿宋_GB2312" w:eastAsia="仿宋_GB2312"/>
              </w:rPr>
              <w:t>四个一批”项目管理功能</w:t>
            </w:r>
          </w:p>
          <w:p>
            <w:pPr>
              <w:pStyle w:val="null3"/>
              <w:jc w:val="both"/>
            </w:pPr>
            <w:r>
              <w:rPr>
                <w:rFonts w:ascii="仿宋_GB2312" w:hAnsi="仿宋_GB2312" w:cs="仿宋_GB2312" w:eastAsia="仿宋_GB2312"/>
              </w:rPr>
              <w:t>1.首页分析：在首页展示重点项目情况、开工率、投资完成率、竣工率、月度填报排行榜、年度投资排行榜，还有领导驾驶舱展示项目“四个一批”的实时情况。功能包括了导航管理、登录管理、修改密码、操作手册下载等功能以及省级 “四个一批”、市级 “四个一批”、招商项目、行业分库、要素保障等的数据分析，思维导图、手续办理一张图等内容。</w:t>
            </w:r>
          </w:p>
          <w:p>
            <w:pPr>
              <w:pStyle w:val="null3"/>
              <w:jc w:val="both"/>
            </w:pPr>
            <w:r>
              <w:rPr>
                <w:rFonts w:ascii="仿宋_GB2312" w:hAnsi="仿宋_GB2312" w:cs="仿宋_GB2312" w:eastAsia="仿宋_GB2312"/>
              </w:rPr>
              <w:t>2.省级“四个一批”：对省级重点项目按“四个一批”的流程进行管理，包括从项目谋划申报开始，到谋划项目、储备项目、开工（在建）项目、投产项目，按照项目的阶段流转项目。包括项目申报库、省级谋划项目库、省级储备项目库、省级开工（在建）项目库、省级投产项目库、省级回收站、省级历史库、征集项目库、省级“四个一批”项目追溯库、省级“四个一批”项目总览、省级“四个一批”单位总览、省级“四个一批”项目计算库等模块。</w:t>
            </w:r>
          </w:p>
          <w:p>
            <w:pPr>
              <w:pStyle w:val="null3"/>
              <w:jc w:val="both"/>
            </w:pPr>
            <w:r>
              <w:rPr>
                <w:rFonts w:ascii="仿宋_GB2312" w:hAnsi="仿宋_GB2312" w:cs="仿宋_GB2312" w:eastAsia="仿宋_GB2312"/>
              </w:rPr>
              <w:t>3.市级“四个一批”：对市级重点项目按“四个一批”的流程进行管理，包括从项目谋划申报开始，到谋划项目、储备项目、开工（在建）项目、投产项目，按照项目的阶段流转项目。包括市级“四个一批”项目申报库、市级谋划项目库、市级储备项目库、市级开工（在建）项目库、市级投产项目库、市级回收站、市级“四个一批”历史库、市级“四个一批”追溯库、市级“四个一批”项目总览、市级“四个一批”单位总览等模块。</w:t>
            </w:r>
          </w:p>
          <w:p>
            <w:pPr>
              <w:pStyle w:val="null3"/>
              <w:jc w:val="both"/>
            </w:pPr>
            <w:r>
              <w:rPr>
                <w:rFonts w:ascii="仿宋_GB2312" w:hAnsi="仿宋_GB2312" w:cs="仿宋_GB2312" w:eastAsia="仿宋_GB2312"/>
              </w:rPr>
              <w:t>4.项目关注：我的关注项目涉及信息查询（包括快速查询与复杂查询）、录入、修改、删除、多种方式统计（按责任单位、领域、国民经济行业分类等）、数据导出以及可由不同用户根据自身情况配置展示字段，还能进行批量取消关注等操作。</w:t>
            </w:r>
          </w:p>
          <w:p>
            <w:pPr>
              <w:pStyle w:val="null3"/>
              <w:jc w:val="both"/>
            </w:pPr>
            <w:r>
              <w:rPr>
                <w:rFonts w:ascii="仿宋_GB2312" w:hAnsi="仿宋_GB2312" w:cs="仿宋_GB2312" w:eastAsia="仿宋_GB2312"/>
              </w:rPr>
              <w:t>5.项目后评价：内容涉及产业链图谱、项目前期评价、项目过程性评价、项目后期评价、评价权重指标管理以及评价结果。</w:t>
            </w:r>
          </w:p>
          <w:p>
            <w:pPr>
              <w:pStyle w:val="null3"/>
              <w:jc w:val="both"/>
            </w:pPr>
            <w:r>
              <w:rPr>
                <w:rFonts w:ascii="仿宋_GB2312" w:hAnsi="仿宋_GB2312" w:cs="仿宋_GB2312" w:eastAsia="仿宋_GB2312"/>
              </w:rPr>
              <w:t>6.省级重大专题推进活动项目：省级重大专题推进活动项目是在规定时间内，集中资源对特定目标展开重点突破，通过系列有效措施保障实施以达成预期目标的行动。其模块包含内容有实质性开工项目、竣工投用项目、计划下年一季度开工项目、项目用地手续（自然资源厅负责）、项目林草手续（省林业局负责）、项目能评手续（省发改委环资处负责）、项目环评手续（生态环境厅负责）、重大专题项目排名等。</w:t>
            </w:r>
          </w:p>
          <w:p>
            <w:pPr>
              <w:pStyle w:val="null3"/>
              <w:jc w:val="both"/>
            </w:pPr>
            <w:r>
              <w:rPr>
                <w:rFonts w:ascii="仿宋_GB2312" w:hAnsi="仿宋_GB2312" w:cs="仿宋_GB2312" w:eastAsia="仿宋_GB2312"/>
              </w:rPr>
              <w:t>7.跨区域项目：跨区域项目是涉及不同地理区域且有独特运作和管理模式的项目，其查询、调入、调出、修改、导出等操作是管理和实施中的关键环节，保障项目在跨区域环境顺利推进。</w:t>
            </w:r>
          </w:p>
          <w:p>
            <w:pPr>
              <w:pStyle w:val="null3"/>
              <w:jc w:val="both"/>
            </w:pPr>
            <w:r>
              <w:rPr>
                <w:rFonts w:ascii="仿宋_GB2312" w:hAnsi="仿宋_GB2312" w:cs="仿宋_GB2312" w:eastAsia="仿宋_GB2312"/>
              </w:rPr>
              <w:t>8.投资主体管理：投资主体相关内容包括投资主体主页、省级和市级“四个一批”项目管理、月度管理以及问题管理。</w:t>
            </w:r>
          </w:p>
          <w:p>
            <w:pPr>
              <w:pStyle w:val="null3"/>
              <w:jc w:val="both"/>
            </w:pPr>
            <w:r>
              <w:rPr>
                <w:rFonts w:ascii="仿宋_GB2312" w:hAnsi="仿宋_GB2312" w:cs="仿宋_GB2312" w:eastAsia="仿宋_GB2312"/>
              </w:rPr>
              <w:t>9.领导驾驶舱：领导驾驶舱分为省级重点项目“四个一批”数据、省级项目全生命周期管理和数据总看板。省级重点项目“四个一批”数据汇总按省级、按各地市展示“四个一批”数据，包括谋划项目、储备项目、开工（在建）项目、投产项目清单、投资完成情况、手续办结情况、投产监测情况以及根据地图访问数据。省级项目全生命周期管理汇总按省级、按各地市展示“四个一批”数据。包括谋划项目清单、储备项目清单、开工（在建）项目清单、投产项目清单、招商项目清单、手续办结情况、入统项目清单、各单位“四个一批”以及根据地图访问数据。数据总看板包括五年规划项目、“四个一批”项目、项目保障、行业部门监管、招商引资签约项目、项目问题情况的统计查询。</w:t>
            </w:r>
          </w:p>
          <w:p>
            <w:pPr>
              <w:pStyle w:val="null3"/>
              <w:jc w:val="both"/>
            </w:pPr>
            <w:r>
              <w:rPr>
                <w:rFonts w:ascii="仿宋_GB2312" w:hAnsi="仿宋_GB2312" w:cs="仿宋_GB2312" w:eastAsia="仿宋_GB2312"/>
              </w:rPr>
              <w:t>10.观摩日程安排：由省政府每季度集中安排对重点项目的观摩，主要线下进行，线上观摩主要用于不定期上级领导或包联领导集中观看项目建设情况或协调解决项目中遇到的问题，包括项目申报、确定观摩信息、正式观摩、观摩项目手续、观摩日程表、观摩历史库等模块。</w:t>
            </w:r>
          </w:p>
          <w:p>
            <w:pPr>
              <w:pStyle w:val="null3"/>
              <w:jc w:val="both"/>
            </w:pPr>
            <w:r>
              <w:rPr>
                <w:rFonts w:ascii="仿宋_GB2312" w:hAnsi="仿宋_GB2312" w:cs="仿宋_GB2312" w:eastAsia="仿宋_GB2312"/>
              </w:rPr>
              <w:t>11.项目电子台账：项目电子台账包括信息录入、多种查询（基础字段快速查询、复杂查询、查询详情、查询在线审批平台项目信息、根据项目代码对比信息等）、多种导出（常规导出、按行业统计导出、一键成文加工成Word导出、单位统计导出、重点项目指导统计导出、投资类型统计导出、领域统计导出、导出项目册、导出个人批注信息）、用户可配置展示字段、校验（调用服务接口在线校验）、汇总项目流程记录、历年项目情况、月度信息、五年规划项目信息、项目操作信息、操作历史及详情页面的上一页下一页操作功能，项目校验包括列表查询（基础字段快速查询、复杂查询）、导出、校验项目重复、用户可配置列表展示字段和信息补充完善。</w:t>
            </w:r>
          </w:p>
          <w:p>
            <w:pPr>
              <w:pStyle w:val="null3"/>
              <w:jc w:val="both"/>
            </w:pPr>
            <w:r>
              <w:rPr>
                <w:rFonts w:ascii="仿宋_GB2312" w:hAnsi="仿宋_GB2312" w:cs="仿宋_GB2312" w:eastAsia="仿宋_GB2312"/>
              </w:rPr>
              <w:t>12.项目地域分布：包括项目地域分布标注和分布图，在地图上展示项目分布情况及项目进展情况（可进行各种查询及组合查询，可以直接调出项目电子台账信息），并可由责任单位对项目位置在地图上直接进行标注。</w:t>
            </w:r>
          </w:p>
          <w:p>
            <w:pPr>
              <w:pStyle w:val="null3"/>
              <w:jc w:val="both"/>
            </w:pPr>
            <w:r>
              <w:rPr>
                <w:rFonts w:ascii="仿宋_GB2312" w:hAnsi="仿宋_GB2312" w:cs="仿宋_GB2312" w:eastAsia="仿宋_GB2312"/>
              </w:rPr>
              <w:t>13.视频展示：项目监控管理涉及列表展示、数据条件查询、关联项目、对视频接口的获取等操作，包括删除、修改、导出功能，不同用户可配置展示字段，能查看详情，同时涵盖设备获取视频监控设备及其通道、定时获取图片或视频最新信息及相关查看与删除操作，还可进行实时状态查询反馈；此外，还有项目现场拍摄视频的信息，包括查询、录入、修改、删除以及数据导出下载等相关操作，整体围绕项目监控管理及项目现场拍摄视频的各项处理展开。</w:t>
            </w:r>
          </w:p>
          <w:p>
            <w:pPr>
              <w:pStyle w:val="null3"/>
              <w:jc w:val="both"/>
            </w:pPr>
            <w:r>
              <w:rPr>
                <w:rFonts w:ascii="仿宋_GB2312" w:hAnsi="仿宋_GB2312" w:cs="仿宋_GB2312" w:eastAsia="仿宋_GB2312"/>
              </w:rPr>
              <w:t>14.系统设置（基础管理）：系统设置包括系统用户管理、机构管理、角色管理、系统参数、通知公告管理、公告动态管理、字典管理、项目表单维护、项目手续管理、国民经济分类管理、行业领域管理、产业链管理、企业管理、政策法规库、站位图、项目批注管理、知识库、项目日志、项目常用导出、系统备份、用户画像分析以及短信模版、通讯录，用于系统使用基础数据维护。</w:t>
            </w:r>
          </w:p>
          <w:p>
            <w:pPr>
              <w:pStyle w:val="null3"/>
              <w:jc w:val="both"/>
            </w:pPr>
            <w:r>
              <w:rPr>
                <w:rFonts w:ascii="仿宋_GB2312" w:hAnsi="仿宋_GB2312" w:cs="仿宋_GB2312" w:eastAsia="仿宋_GB2312"/>
              </w:rPr>
              <w:t>15.“秦政通”系统对接：秦政通系统对接各类项目（谋划、储备、开工在建、投产、全省“四个一批”等）及全省数据，涉及全省各市地图穿透、部门年度投资列表等内容，同时介绍了领导在相关项目及数据方面的诸多功能，如领导首页、领导项目总览、包抓、要素保障、挂图作战、项目批示、汇总以及各项目详情、领导谋划、储备、开工在建、投产项目、及领导关注等情况。</w:t>
            </w:r>
          </w:p>
          <w:p>
            <w:pPr>
              <w:pStyle w:val="null3"/>
              <w:jc w:val="both"/>
            </w:pPr>
            <w:r>
              <w:rPr>
                <w:rFonts w:ascii="仿宋_GB2312" w:hAnsi="仿宋_GB2312" w:cs="仿宋_GB2312" w:eastAsia="仿宋_GB2312"/>
              </w:rPr>
              <w:t>16.各地市“四个一批”对接：实现与11个地市项目管理平台打通，定期收集市级“四个一批”项目进展情况，涵盖项目库、月度信息、手续信息以及附件信息等方面内容。（如各地市无“四个一批”相关系统或平台则可使用省平台直接进行“四个一批”项目管理）</w:t>
            </w:r>
          </w:p>
          <w:p>
            <w:pPr>
              <w:pStyle w:val="null3"/>
              <w:jc w:val="both"/>
            </w:pPr>
            <w:r>
              <w:rPr>
                <w:rFonts w:ascii="仿宋_GB2312" w:hAnsi="仿宋_GB2312" w:cs="仿宋_GB2312" w:eastAsia="仿宋_GB2312"/>
              </w:rPr>
              <w:t>17.陕西省投资项目在线审批监管平台对接：通过与投资在线审批系统打通，在线审批对接服务端与客户端均具备查询及接收项目列表、项目信息、办件信息、事项信息等功能，可进行在线审批状态更新、查询及根据用户匹配对应数据、获取在线审批办理节点信息等操作。</w:t>
            </w:r>
          </w:p>
          <w:p>
            <w:pPr>
              <w:pStyle w:val="null3"/>
              <w:jc w:val="both"/>
            </w:pPr>
            <w:r>
              <w:rPr>
                <w:rFonts w:ascii="仿宋_GB2312" w:hAnsi="仿宋_GB2312" w:cs="仿宋_GB2312" w:eastAsia="仿宋_GB2312"/>
              </w:rPr>
              <w:t>18.“四个一批”任务调度：调度项目进展、手续情况、项目建设中遇到的问题，协调解决项目中的问题。内容涵盖我的调度项目、市级项目调度总览和市级项目调度分项目、任务调度就业监测、任务调度竣工监测、我的监测项目、省级领导联系的其他项目、苏陕协作及任务调度协助进展，以及多种要素保障相关任务调度（立项、能评、环评、各级重点用地、文勘、林地、湿地、人防、消防、水评价、交评、稳评、工程建设规划、施工许可等）。</w:t>
            </w:r>
          </w:p>
          <w:p>
            <w:pPr>
              <w:pStyle w:val="null3"/>
              <w:jc w:val="both"/>
            </w:pPr>
            <w:r>
              <w:rPr>
                <w:rFonts w:ascii="仿宋_GB2312" w:hAnsi="仿宋_GB2312" w:cs="仿宋_GB2312" w:eastAsia="仿宋_GB2312"/>
              </w:rPr>
              <w:t>19.行业主管部门：主要包括行业主管项目、各部门分库，以及入统项目、未入统项目和工信项目库等相关项目情况。</w:t>
            </w:r>
          </w:p>
          <w:p>
            <w:pPr>
              <w:pStyle w:val="null3"/>
              <w:jc w:val="both"/>
            </w:pPr>
            <w:r>
              <w:rPr>
                <w:rFonts w:ascii="仿宋_GB2312" w:hAnsi="仿宋_GB2312" w:cs="仿宋_GB2312" w:eastAsia="仿宋_GB2312"/>
              </w:rPr>
              <w:t>20.重点专项库：项目管理领导主要关注项目库，主要包括整改项目管理、重中之重项目管理、重要会议（报告）关注项目管理等功能。</w:t>
            </w:r>
          </w:p>
          <w:p>
            <w:pPr>
              <w:pStyle w:val="null3"/>
              <w:jc w:val="both"/>
            </w:pPr>
            <w:r>
              <w:rPr>
                <w:rFonts w:ascii="仿宋_GB2312" w:hAnsi="仿宋_GB2312" w:cs="仿宋_GB2312" w:eastAsia="仿宋_GB2312"/>
              </w:rPr>
              <w:t>21.督办管理：内容包括预警规则库的录入、修改、删除、查询操作，以及预警项目清单的快速查询、复杂查询、移除、查看详情等操作，还涉及预警项目的催办、发起督办、转发督办、项目单位反馈、反馈审核和数据导出。</w:t>
            </w:r>
          </w:p>
          <w:p>
            <w:pPr>
              <w:pStyle w:val="null3"/>
              <w:jc w:val="both"/>
            </w:pPr>
            <w:r>
              <w:rPr>
                <w:rFonts w:ascii="仿宋_GB2312" w:hAnsi="仿宋_GB2312" w:cs="仿宋_GB2312" w:eastAsia="仿宋_GB2312"/>
              </w:rPr>
              <w:t>22.“四个一批”统计报表：在省级项目管理中，“四个一批”统计报表覆盖项目全生命周期，包括多种统计报表，涉及省级“四个一批”（分领域、按行业、分地市）、谋划项目、储备项目、开工（在建）项目、投产项目、环评手续、省级“四个一批”项目偏离度表、年计划分解、项目总览、项目变更申请表、退回申请表、调出申请表、增补表（报政府）、省级项目中期调整表、项目转化情况（分地市）和项目投资情况（分地市）；以及地市投资完成率和各类排行，如地市投资完成占比排行、地市偏离度排行、地市入统情况排行、要素保障单位办结排行、行业主管单位反馈排行、转库情况排行及领导项目投资情况。统计报表确保项目各阶段顺利推进，评估项目成熟度、工程进度、市场反响等，为项目决策、执行与评估提供精准信息，推动项目高效管理。</w:t>
            </w:r>
          </w:p>
          <w:p>
            <w:pPr>
              <w:pStyle w:val="null3"/>
              <w:jc w:val="both"/>
            </w:pPr>
            <w:r>
              <w:rPr>
                <w:rFonts w:ascii="仿宋_GB2312" w:hAnsi="仿宋_GB2312" w:cs="仿宋_GB2312" w:eastAsia="仿宋_GB2312"/>
              </w:rPr>
              <w:t>23.“四个一批”统计图表：“四个一批”各领域（包括领域、地市、行业、行业主管、历年项目对比情况等）统计图表均以柱状图展示且可点击柱状图查询对应数据信息。</w:t>
            </w:r>
          </w:p>
          <w:p>
            <w:pPr>
              <w:pStyle w:val="null3"/>
              <w:numPr>
                <w:ilvl w:val="0"/>
                <w:numId w:val="1"/>
              </w:numPr>
              <w:jc w:val="both"/>
            </w:pPr>
            <w:r>
              <w:rPr>
                <w:rFonts w:ascii="仿宋_GB2312" w:hAnsi="仿宋_GB2312" w:cs="仿宋_GB2312" w:eastAsia="仿宋_GB2312"/>
              </w:rPr>
              <w:t>年度计划项目管理功能需求</w:t>
            </w:r>
          </w:p>
          <w:p>
            <w:pPr>
              <w:pStyle w:val="null3"/>
              <w:jc w:val="both"/>
            </w:pPr>
            <w:r>
              <w:rPr>
                <w:rFonts w:ascii="仿宋_GB2312" w:hAnsi="仿宋_GB2312" w:cs="仿宋_GB2312" w:eastAsia="仿宋_GB2312"/>
              </w:rPr>
              <w:t>1.年度计划项目首页：年度计划项目首页需集成省、市级年度计划项目概览，支持项目详情穿透查看，并嵌入项目流程思维导图导航，以直观方式展现项目全貌与流程，助力高效管理和决策。</w:t>
            </w:r>
          </w:p>
          <w:p>
            <w:pPr>
              <w:pStyle w:val="null3"/>
              <w:jc w:val="both"/>
            </w:pPr>
            <w:r>
              <w:rPr>
                <w:rFonts w:ascii="仿宋_GB2312" w:hAnsi="仿宋_GB2312" w:cs="仿宋_GB2312" w:eastAsia="仿宋_GB2312"/>
              </w:rPr>
              <w:t>2.年度计划项目管理：该模块主要围绕年度计划相关的各类项目库展开，包括年度计划预备项目申报库、审核库、筛选库、项目库，年度计划项目申报库、筛选库、版本库、项目库，以及省级领导联系项目、非省级项目、年度计划项目计算库、追溯库等，涉及各库的信息录入、多种查询方式（基础字段快速查询、复杂查询等）、不同用户可配置展示字段、入库及流转操作（如入审核库、入筛选库、入项目库、退回申报库等）、分配单位、驳回、退出、预审、项目审核、各类统计导出（按领域、单位、投资类型等）、查看详情、导出项目册、项目关联操作（如电子台账关联、与领导联系项目库关联等）、对项目的多种处理（如修改、调出、调回、删除、打包、拆包、转为前期、标记问题项目等），还涵盖了非省级项目的相关操作以及年度计划项目计算库、追溯库的特色功能，另外还有项目二维码根据项目ID生成及相关的查询、下载、扫码后的一系列操作等内容。</w:t>
            </w:r>
          </w:p>
          <w:p>
            <w:pPr>
              <w:pStyle w:val="null3"/>
              <w:jc w:val="both"/>
            </w:pPr>
            <w:r>
              <w:rPr>
                <w:rFonts w:ascii="仿宋_GB2312" w:hAnsi="仿宋_GB2312" w:cs="仿宋_GB2312" w:eastAsia="仿宋_GB2312"/>
              </w:rPr>
              <w:t>3.年度计划任务调度：年度计划项目管理的任务调度涉及年度计划项目和预备项目相关操作，重点项目包括调度信息、基础字段快速查询、复杂查询、信息填报、详情查看、数据删除、进展驳回及相关统计导出、数据信息预警、完成情况对比、多种统计导出（行业、单位、领域、投资类型等）、导出项目册、不同用户按自身情况配置展示字段、整体导出等；预备项目有基础字段快速查询、复杂查询、详情查看、导出、一键成文导出、多种统计导出、导出项目册、用户配置展示字段、填报和删除操作。</w:t>
            </w:r>
          </w:p>
          <w:p>
            <w:pPr>
              <w:pStyle w:val="null3"/>
              <w:jc w:val="both"/>
            </w:pPr>
            <w:r>
              <w:rPr>
                <w:rFonts w:ascii="仿宋_GB2312" w:hAnsi="仿宋_GB2312" w:cs="仿宋_GB2312" w:eastAsia="仿宋_GB2312"/>
              </w:rPr>
              <w:t>4.年度计划周进度调度：周进度调度包括年度计划项目周报和预备周报相关内容。重点周报有调度信息，可进行基础字段快速查询、复杂查询，用户能配置展示字段，涉及填报、进展驳回及相应统计导出、查看详情、修改删除、多种统计导出（行业、单位、领域等）、导出项目册、整体导出等操作；预备周报同样有基础字段快速查询、复杂查询，包括填报、详情查看、修改删除、进展驳回及相关统计导出、用户配置展示字段、多种统计导出、导出项目册和整体导出等操作。</w:t>
            </w:r>
          </w:p>
          <w:p>
            <w:pPr>
              <w:pStyle w:val="null3"/>
              <w:jc w:val="both"/>
            </w:pPr>
            <w:r>
              <w:rPr>
                <w:rFonts w:ascii="仿宋_GB2312" w:hAnsi="仿宋_GB2312" w:cs="仿宋_GB2312" w:eastAsia="仿宋_GB2312"/>
              </w:rPr>
              <w:t>5.年度计划半月进度调度：年度计划半月进度调度包括重点半月进度调度和预备半月进度调度相关内容，及协助项目半月度进展填报管理的相应操作。重点半月进度调度有调度信息，可基础字段快速查询、复杂查询，涉及填报、进展驳回及相关统计导出、详情查询、修改、删除、用户配置展示字段、多种统计导出（行业、单位、领域等）、导出项目册、整体导出等；预备半月进度调度同样有快速查询、复杂查询、填报、详情查询、修改、删除、进展驳回及相关统计导出、用户配置展示字段、多种统计导出、导出项目册、整体导出操作；协助项目半月度进展填报管理可基础字段快速查询、复杂查询，有填报、详情查询、修改、删除、进展驳回及相关统计导出、用户配置展示字段、多种统计导出、导出项目册、整体导出功能。</w:t>
            </w:r>
          </w:p>
          <w:p>
            <w:pPr>
              <w:pStyle w:val="null3"/>
              <w:jc w:val="both"/>
            </w:pPr>
            <w:r>
              <w:rPr>
                <w:rFonts w:ascii="仿宋_GB2312" w:hAnsi="仿宋_GB2312" w:cs="仿宋_GB2312" w:eastAsia="仿宋_GB2312"/>
              </w:rPr>
              <w:t>6.年度计划项目地市月度调度：年度计划项目地市月度调度涉及管理预备项目和年度计划项目。对于预备项目，有调度信息，可进行基础字段快速查询、复杂查询，包括填报、详情查询、修改、进展驳回及相关统计导出、删除、用户可配置展示字段、多种统计导出（行业、单位、领域等）、导出项目册和整体导出操作；对于年度计划项目，同样有基础字段快速查询、复杂查询、填报、详情查询、修改、删除、进展驳回及相关统计导出、用户配置展示字段、多种统计导出、导出项目册、整体导出相关内容。</w:t>
            </w:r>
          </w:p>
          <w:p>
            <w:pPr>
              <w:pStyle w:val="null3"/>
              <w:jc w:val="both"/>
            </w:pPr>
            <w:r>
              <w:rPr>
                <w:rFonts w:ascii="仿宋_GB2312" w:hAnsi="仿宋_GB2312" w:cs="仿宋_GB2312" w:eastAsia="仿宋_GB2312"/>
              </w:rPr>
              <w:t>7.年度计划项目统计报表：年度计划项目统计报表涵盖年度计划建设项目（分领域查询、汇总导出、明细导出，分单位查询、导出）、招商暂不推荐（活动和地市，包括查询、阶段统计导出、整体导出）、行业领域（汇总和明细的查询、导出）、责任单位（汇总和明细的查询、导出）、未开工/已开工/已竣工项目明细（查询、导出）、省级和市级年度计划项目通报表（查询、导出）、月度填报排行榜（查询、导出），还包括年度计划项目半月调度导出、月调度汇总（查询、导出）、年度计划项目偏离度分析表（查询、导出）、产业类项目进展情况（查询、导出）、能源局项目进展情况（查询、导出）、月度责任单位和行业领域同比分析（查询、导出）、年度计划项目分领导（查询、导出、明细查询、明细导出）、项目转化情况（分领导，查询、导出）等内容。</w:t>
            </w:r>
          </w:p>
          <w:p>
            <w:pPr>
              <w:pStyle w:val="null3"/>
              <w:jc w:val="both"/>
            </w:pPr>
            <w:r>
              <w:rPr>
                <w:rFonts w:ascii="仿宋_GB2312" w:hAnsi="仿宋_GB2312" w:cs="仿宋_GB2312" w:eastAsia="仿宋_GB2312"/>
              </w:rPr>
              <w:t>8.年度计划统计图表：年度计划项目的单位统计图表和每月情况统计图表均以柱状图形式展示，且点击柱状图可查询对应的数据信息。</w:t>
            </w:r>
          </w:p>
          <w:p>
            <w:pPr>
              <w:pStyle w:val="null3"/>
              <w:numPr>
                <w:ilvl w:val="0"/>
                <w:numId w:val="1"/>
              </w:numPr>
              <w:jc w:val="both"/>
            </w:pPr>
            <w:r>
              <w:rPr>
                <w:rFonts w:ascii="仿宋_GB2312" w:hAnsi="仿宋_GB2312" w:cs="仿宋_GB2312" w:eastAsia="仿宋_GB2312"/>
              </w:rPr>
              <w:t>五年规划项目管理功能需求</w:t>
            </w:r>
          </w:p>
          <w:p>
            <w:pPr>
              <w:pStyle w:val="null3"/>
              <w:jc w:val="both"/>
            </w:pPr>
            <w:r>
              <w:rPr>
                <w:rFonts w:ascii="仿宋_GB2312" w:hAnsi="仿宋_GB2312" w:cs="仿宋_GB2312" w:eastAsia="仿宋_GB2312"/>
              </w:rPr>
              <w:t>1.五年规划项目首页：五年规划项目可分别按照部门情况、重点领域、行业以及实施情况进行相关的统计查询操作。</w:t>
            </w:r>
          </w:p>
          <w:p>
            <w:pPr>
              <w:pStyle w:val="null3"/>
              <w:jc w:val="both"/>
            </w:pPr>
            <w:r>
              <w:rPr>
                <w:rFonts w:ascii="仿宋_GB2312" w:hAnsi="仿宋_GB2312" w:cs="仿宋_GB2312" w:eastAsia="仿宋_GB2312"/>
              </w:rPr>
              <w:t>2.五年规划项目管理库：五年规划项目相关操作包括申报库项目的录入、条件查询、分配单位、驳回、入审核库、导出、修改、删除、详情查看、用户配置展示字段、一键成文导出、行业和单位统计导出、与在线审批项目信息对接和省级“四个一批”项目校对、预审并添加意见，涉及五年规划项目任务目标的信息、查询、录入、修改、删除、导出以及项目领域和区域情况对比统计分析，还有审核库项目的查询、移除、加入筛选库、分配审核单位联审、审核单位填写意见及提供结果、用户配置展示字段、清除审核信息、未审核信息提醒、详情查看、一键成文导出、行业和单位统计导出、导出，筛选库的移除、入项目管理库、分配单位、自定义标签、查看详情、用户配置展示字段、导出、一键成文导出、行业和单位统计导出、条件查询，项目库的数据查询、分配单位、退回到申报库、修改项目名称、转为下个版本项目、项目分领域、转“四个一批”项目、数据修改、删除、自定义标签、用户配置展示字段、项目结转、一键成文导出、行业和单位统计导出、信息校验对比、按时间段手动/自动备份、数据导出，以及五年规划追溯库的数据查询、行业和单位统计导出、数据导出、上个月信息校验对比、按月统计、数据详情等。</w:t>
            </w:r>
          </w:p>
          <w:p>
            <w:pPr>
              <w:pStyle w:val="null3"/>
              <w:jc w:val="both"/>
            </w:pPr>
            <w:r>
              <w:rPr>
                <w:rFonts w:ascii="仿宋_GB2312" w:hAnsi="仿宋_GB2312" w:cs="仿宋_GB2312" w:eastAsia="仿宋_GB2312"/>
              </w:rPr>
              <w:t>3.五年规划项目调度：五年规划项目调度涉及总览信息，可通过基础字段快速查询以及利用弹出框选择多条件进行复杂查询，包括项目信息填报、详情查看、数据删除等操作，且不同用户能依据自身情况配置所需展示字段，同时具备一键成文加工成Word导出、行业统计导出、单位统计导出以及数据导出等功能。</w:t>
            </w:r>
          </w:p>
          <w:p>
            <w:pPr>
              <w:pStyle w:val="null3"/>
              <w:jc w:val="both"/>
            </w:pPr>
            <w:r>
              <w:rPr>
                <w:rFonts w:ascii="仿宋_GB2312" w:hAnsi="仿宋_GB2312" w:cs="仿宋_GB2312" w:eastAsia="仿宋_GB2312"/>
              </w:rPr>
              <w:t>4.五年规划项目数据看板：五年规划项目调度可从行业、单位、领域以图表方式进行汇总查询，其手续以数据列表方式汇总查询，调度情况和偏离度也通过图表汇总查询；同时，五年规划项目还能以地图形式统计地域分布情况，进行规划目标分解统计查询以及入库情况统计查询。</w:t>
            </w:r>
          </w:p>
          <w:p>
            <w:pPr>
              <w:pStyle w:val="null3"/>
              <w:numPr>
                <w:ilvl w:val="0"/>
                <w:numId w:val="1"/>
              </w:numPr>
              <w:jc w:val="both"/>
            </w:pPr>
            <w:r>
              <w:rPr>
                <w:rFonts w:ascii="仿宋_GB2312" w:hAnsi="仿宋_GB2312" w:cs="仿宋_GB2312" w:eastAsia="仿宋_GB2312"/>
              </w:rPr>
              <w:t>招商引资签约项目管理功能需求</w:t>
            </w:r>
          </w:p>
          <w:p>
            <w:pPr>
              <w:pStyle w:val="null3"/>
              <w:jc w:val="both"/>
            </w:pPr>
            <w:r>
              <w:rPr>
                <w:rFonts w:ascii="仿宋_GB2312" w:hAnsi="仿宋_GB2312" w:cs="仿宋_GB2312" w:eastAsia="仿宋_GB2312"/>
              </w:rPr>
              <w:t>招商引资签约项目通过市级招商主管部门待推荐、市级招商主管部门不推荐、市级发改部门待推荐、已纳入市级“四个一批”、已纳入省级“四个一批”等实现全省招商项目的全过程管理。</w:t>
            </w:r>
          </w:p>
          <w:p>
            <w:pPr>
              <w:pStyle w:val="null3"/>
              <w:jc w:val="both"/>
            </w:pPr>
            <w:r>
              <w:rPr>
                <w:rFonts w:ascii="仿宋_GB2312" w:hAnsi="仿宋_GB2312" w:cs="仿宋_GB2312" w:eastAsia="仿宋_GB2312"/>
              </w:rPr>
              <w:t>招商项目库具体包括签约活动、战略协议、招商项目、暂不推荐项目和再次推送项目五大模块。</w:t>
            </w:r>
          </w:p>
          <w:p>
            <w:pPr>
              <w:pStyle w:val="null3"/>
              <w:jc w:val="both"/>
            </w:pPr>
            <w:r>
              <w:rPr>
                <w:rFonts w:ascii="仿宋_GB2312" w:hAnsi="仿宋_GB2312" w:cs="仿宋_GB2312" w:eastAsia="仿宋_GB2312"/>
              </w:rPr>
              <w:t>1.签约活动：录入招商项目的基本信息、上传附件，查询时可以简写项目名称也能精准查询省级重大平台的项目、签约时间、地点、主办部门、项目金额并对已录入的项目进行修改和删除。签约活动信息汇总，包括签约合同项目总数和总金额汇总。</w:t>
            </w:r>
          </w:p>
          <w:p>
            <w:pPr>
              <w:pStyle w:val="null3"/>
              <w:jc w:val="both"/>
            </w:pPr>
            <w:r>
              <w:rPr>
                <w:rFonts w:ascii="仿宋_GB2312" w:hAnsi="仿宋_GB2312" w:cs="仿宋_GB2312" w:eastAsia="仿宋_GB2312"/>
              </w:rPr>
              <w:t>2.战略协议：针对招商项目在战略层面上能够达到合作协议，提供附件、协议主导方。提供战略协议录入、修改、删除、查询和列表展示功能，提供战略协议附件总数汇总功能。</w:t>
            </w:r>
          </w:p>
          <w:p>
            <w:pPr>
              <w:pStyle w:val="null3"/>
              <w:jc w:val="both"/>
            </w:pPr>
            <w:r>
              <w:rPr>
                <w:rFonts w:ascii="仿宋_GB2312" w:hAnsi="仿宋_GB2312" w:cs="仿宋_GB2312" w:eastAsia="仿宋_GB2312"/>
              </w:rPr>
              <w:t>3.招商项目：项目录入、分配单位、转省级市级“四个一批”、进行批量删除签约、项目导入、导出统计表和明细。提供关联省市“四个一批”功能、招商项目转为暂不推荐项目功能、招商主管部门信息补充功能、招商项目退回功能、修改省级重点项目申报指导目录功能。可查看项目所在阶段、暂不推荐的原因、研发部退回原因、签约单位、签约金额、项目内容，企业联系人方式对项目可进行修改和删除。可通过项目所在阶段、项目名称查询时可以精准查询项目，其他按钮可以点击选择，不用手动输入，更为精确的搜索查询功能，可以根据所属行业进行查询，因为页面字段数据多，为方便快速查询所需项目信息</w:t>
            </w:r>
          </w:p>
          <w:p>
            <w:pPr>
              <w:pStyle w:val="null3"/>
              <w:jc w:val="both"/>
            </w:pPr>
            <w:r>
              <w:rPr>
                <w:rFonts w:ascii="仿宋_GB2312" w:hAnsi="仿宋_GB2312" w:cs="仿宋_GB2312" w:eastAsia="仿宋_GB2312"/>
              </w:rPr>
              <w:t>4.暂不推荐项目：招商项目因投资条件不成熟等原因，市改发部门退回，转为待推荐项目。</w:t>
            </w:r>
          </w:p>
          <w:p>
            <w:pPr>
              <w:pStyle w:val="null3"/>
              <w:jc w:val="both"/>
            </w:pPr>
            <w:r>
              <w:rPr>
                <w:rFonts w:ascii="仿宋_GB2312" w:hAnsi="仿宋_GB2312" w:cs="仿宋_GB2312" w:eastAsia="仿宋_GB2312"/>
              </w:rPr>
              <w:t>5.再次推送项目：招商再次推送项目可进行基础字段快速查询和通过弹出框多条件复杂查询，支持导出，能按照地市、活动统计，可批量驳回、批量确认，能进行驳回原因统计。</w:t>
            </w:r>
          </w:p>
          <w:p>
            <w:pPr>
              <w:pStyle w:val="null3"/>
              <w:numPr>
                <w:ilvl w:val="0"/>
                <w:numId w:val="1"/>
              </w:numPr>
              <w:jc w:val="both"/>
            </w:pPr>
            <w:r>
              <w:rPr>
                <w:rFonts w:ascii="仿宋_GB2312" w:hAnsi="仿宋_GB2312" w:cs="仿宋_GB2312" w:eastAsia="仿宋_GB2312"/>
              </w:rPr>
              <w:t>要素保障功能需求</w:t>
            </w:r>
          </w:p>
          <w:p>
            <w:pPr>
              <w:pStyle w:val="null3"/>
              <w:jc w:val="both"/>
            </w:pPr>
            <w:r>
              <w:rPr>
                <w:rFonts w:ascii="仿宋_GB2312" w:hAnsi="仿宋_GB2312" w:cs="仿宋_GB2312" w:eastAsia="仿宋_GB2312"/>
              </w:rPr>
              <w:t>1.手续总览：手续相关内容包括手续信息、手续总览办理汇总，手续总览列表可进行基础字段快速查询和通过弹出框多条件复杂查询，能一键成文加工成Word导出、行业统计导出、单位统计导出，不同用户可按需配置展示字段，还可进行列表导出。</w:t>
            </w:r>
          </w:p>
          <w:p>
            <w:pPr>
              <w:pStyle w:val="null3"/>
              <w:jc w:val="both"/>
            </w:pPr>
            <w:r>
              <w:rPr>
                <w:rFonts w:ascii="仿宋_GB2312" w:hAnsi="仿宋_GB2312" w:cs="仿宋_GB2312" w:eastAsia="仿宋_GB2312"/>
              </w:rPr>
              <w:t>2.省/市要素保障立项（审批、核准、备案）手续：省/市要素保障相关内容包括保障信息，其中省/市要素保障立项（审批、核准、备案）手续列表可基于基础字段快速查询、通过弹出框多条件复杂查询，不同用户能据此配置所需展示字段，还涉及“四个一批”汇总、手续办理、一键成文加工成Word导出、单位统计导出、导出项目册（以Word形式且每条数据信息单独成页），同时还有省/市要素保障环评手续导出这一内容。</w:t>
            </w:r>
          </w:p>
          <w:p>
            <w:pPr>
              <w:pStyle w:val="null3"/>
              <w:jc w:val="both"/>
            </w:pPr>
            <w:r>
              <w:rPr>
                <w:rFonts w:ascii="仿宋_GB2312" w:hAnsi="仿宋_GB2312" w:cs="仿宋_GB2312" w:eastAsia="仿宋_GB2312"/>
              </w:rPr>
              <w:t>3.省/市要素保障环评手续：省/市要素保障环评手续相关操作包括手续列表可通过基础字段快速查询和弹出框多条件复杂查询，不同用户能配置展示字段，还有“四个一批”汇总、手续办理、一键成文加工成Word导出、单位统计导出、导出项目册（Word形式且每条数据信息单独一页）以及常规的手续导出。</w:t>
            </w:r>
          </w:p>
          <w:p>
            <w:pPr>
              <w:pStyle w:val="null3"/>
              <w:jc w:val="both"/>
            </w:pPr>
            <w:r>
              <w:rPr>
                <w:rFonts w:ascii="仿宋_GB2312" w:hAnsi="仿宋_GB2312" w:cs="仿宋_GB2312" w:eastAsia="仿宋_GB2312"/>
              </w:rPr>
              <w:t>4.省/市要素保障能评手续：省/市要素保障能评手续相关操作包括手续列表可通过基础字段快速查询和弹出框多条件复杂查询，不同用户能配置展示字段，还有“四个一批”汇总、手续办理、一键成文加工成Word导出、单位统计导出、导出项目册（Word形式且每条数据信息单独一页）以及常规的手续导出。</w:t>
            </w:r>
          </w:p>
          <w:p>
            <w:pPr>
              <w:pStyle w:val="null3"/>
              <w:jc w:val="both"/>
            </w:pPr>
            <w:r>
              <w:rPr>
                <w:rFonts w:ascii="仿宋_GB2312" w:hAnsi="仿宋_GB2312" w:cs="仿宋_GB2312" w:eastAsia="仿宋_GB2312"/>
              </w:rPr>
              <w:t>5.省/市要素保障土地批复手续：省/市要素保障土地批复手续相关操作包括手续列表可通过基础字段快速查询和弹出框多条件复杂查询，不同用户能配置展示字段，还有“四个一批”汇总、手续办理、一键成文加工成Word导出、单位统计导出、导出项目册（Word形式且每条数据信息单独一页）以及常规的手续导出。</w:t>
            </w:r>
          </w:p>
          <w:p>
            <w:pPr>
              <w:pStyle w:val="null3"/>
              <w:jc w:val="both"/>
            </w:pPr>
            <w:r>
              <w:rPr>
                <w:rFonts w:ascii="仿宋_GB2312" w:hAnsi="仿宋_GB2312" w:cs="仿宋_GB2312" w:eastAsia="仿宋_GB2312"/>
              </w:rPr>
              <w:t>6.省/市要素保障文勘手续：省/市要素保障文勘手续相关操作包括手续列表可通过基础字段快速查询和弹出框多条件复杂查询，不同用户能配置展示字段，还有“四个一批”汇总、手续办理、一键成文加工成Word导出、单位统计导出、导出项目册（Word形式且每条数据信息单独一页）以及常规的手续导出。</w:t>
            </w:r>
          </w:p>
          <w:p>
            <w:pPr>
              <w:pStyle w:val="null3"/>
              <w:jc w:val="both"/>
            </w:pPr>
            <w:r>
              <w:rPr>
                <w:rFonts w:ascii="仿宋_GB2312" w:hAnsi="仿宋_GB2312" w:cs="仿宋_GB2312" w:eastAsia="仿宋_GB2312"/>
              </w:rPr>
              <w:t>7.省/市要素保障林地手续：省/市要素保障林地手续相关操作包括手续列表可通过基础字段快速查询和弹出框多条件复杂查询，不同用户能配置展示字段，还有“四个一批”汇总、手续办理、一键成文加工成Word导出、单位统计导出、导出项目册（Word形式且每条数据信息单独一页）以及常规的手续导出。</w:t>
            </w:r>
          </w:p>
          <w:p>
            <w:pPr>
              <w:pStyle w:val="null3"/>
              <w:jc w:val="both"/>
            </w:pPr>
            <w:r>
              <w:rPr>
                <w:rFonts w:ascii="仿宋_GB2312" w:hAnsi="仿宋_GB2312" w:cs="仿宋_GB2312" w:eastAsia="仿宋_GB2312"/>
              </w:rPr>
              <w:t>8.省/市要素保障湿地手续：省/市要素保障湿地手续相关操作包括手续列表可通过基础字段快速查询和弹出框多条件复杂查询，不同用户能配置展示字段，还有“四个一批”汇总、手续办理、一键成文加工成Word导出、单位统计导出、导出项目册（Word形式且每条数据信息单独一页）以及常规的手续导出。</w:t>
            </w:r>
          </w:p>
          <w:p>
            <w:pPr>
              <w:pStyle w:val="null3"/>
              <w:jc w:val="both"/>
            </w:pPr>
            <w:r>
              <w:rPr>
                <w:rFonts w:ascii="仿宋_GB2312" w:hAnsi="仿宋_GB2312" w:cs="仿宋_GB2312" w:eastAsia="仿宋_GB2312"/>
              </w:rPr>
              <w:t>9.省/市要素保障人防手续：省/市要素保障人防手续相关操作包括手续列表可通过基础字段快速查询和弹出框多条件复杂查询，不同用户能配置展示字段，还有“四个一批”汇总、手续办理、一键成文加工成Word导出、单位统计导出、导出项目册（Word形式且每条数据信息单独一页）以及常规的手续导出。</w:t>
            </w:r>
          </w:p>
          <w:p>
            <w:pPr>
              <w:pStyle w:val="null3"/>
              <w:jc w:val="both"/>
            </w:pPr>
            <w:r>
              <w:rPr>
                <w:rFonts w:ascii="仿宋_GB2312" w:hAnsi="仿宋_GB2312" w:cs="仿宋_GB2312" w:eastAsia="仿宋_GB2312"/>
              </w:rPr>
              <w:t>10.省/市要素保障消防手续：省/市要素保障消防手续相关操作包括手续列表可通过基础字段快速查询和弹出框多条件复杂查询，不同用户能配置展示字段，还有“四个一批”汇总、手续办理、一键成文加工成Word导出、单位统计导出、导出项目册（Word形式且每条数据信息单独一页）以及常规的手续导出。</w:t>
            </w:r>
          </w:p>
          <w:p>
            <w:pPr>
              <w:pStyle w:val="null3"/>
              <w:jc w:val="both"/>
            </w:pPr>
            <w:r>
              <w:rPr>
                <w:rFonts w:ascii="仿宋_GB2312" w:hAnsi="仿宋_GB2312" w:cs="仿宋_GB2312" w:eastAsia="仿宋_GB2312"/>
              </w:rPr>
              <w:t>11.省/市要素保障水评价手续：省/市要素保障水评价手续相关操作包括手续列表可通过基础字段快速查询和弹出框多条件复杂查询，不同用户能配置展示字段，还有“四个一批”汇总、手续办理、一键成文加工成Word导出、单位统计导出、导出项目册（Word形式且每条数据信息单独一页）以及常规的手续导出。</w:t>
            </w:r>
          </w:p>
          <w:p>
            <w:pPr>
              <w:pStyle w:val="null3"/>
              <w:jc w:val="both"/>
            </w:pPr>
            <w:r>
              <w:rPr>
                <w:rFonts w:ascii="仿宋_GB2312" w:hAnsi="仿宋_GB2312" w:cs="仿宋_GB2312" w:eastAsia="仿宋_GB2312"/>
              </w:rPr>
              <w:t>12.省/市要素保障交评手续：省/市要素保障交评手续相关操作包括手续列表可通过基础字段快速查询和弹出框多条件复杂查询，不同用户能配置展示字段，还有“四个一批”汇总、手续办理、一键成文加工成Word导出、单位统计导出、导出项目册（Word形式且每条数据信息单独一页）以及常规的手续导出。</w:t>
            </w:r>
          </w:p>
          <w:p>
            <w:pPr>
              <w:pStyle w:val="null3"/>
              <w:jc w:val="both"/>
            </w:pPr>
            <w:r>
              <w:rPr>
                <w:rFonts w:ascii="仿宋_GB2312" w:hAnsi="仿宋_GB2312" w:cs="仿宋_GB2312" w:eastAsia="仿宋_GB2312"/>
              </w:rPr>
              <w:t>13.省/市要素保障稳评手续：省/市要素保障稳评手续相关操作包括手续列表可通过基础字段快速查询和弹出框多条件复杂查询，不同用户能配置展示字段，还有“四个一批”汇总、手续办理、一键成文加工成Word导出、单位统计导出、导出项目册（Word形式且每条数据信息单独一页）以及常规的手续导出。</w:t>
            </w:r>
          </w:p>
          <w:p>
            <w:pPr>
              <w:pStyle w:val="null3"/>
              <w:jc w:val="both"/>
            </w:pPr>
            <w:r>
              <w:rPr>
                <w:rFonts w:ascii="仿宋_GB2312" w:hAnsi="仿宋_GB2312" w:cs="仿宋_GB2312" w:eastAsia="仿宋_GB2312"/>
              </w:rPr>
              <w:t>14.省/市要素保障工程建设规划手续：省/市要素保障工程建设规划手续相关操作包括手续列表可通过基础字段快速查询和弹出框多条件复杂查询，不同用户能配置展示字段，还有“四个一批”汇总、手续办理、一键成文加工成Word导出、单位统计导出、导出项目册（Word形式且每条数据信息单独一页）以及常规的手续导出。</w:t>
            </w:r>
          </w:p>
          <w:p>
            <w:pPr>
              <w:pStyle w:val="null3"/>
              <w:jc w:val="both"/>
            </w:pPr>
            <w:r>
              <w:rPr>
                <w:rFonts w:ascii="仿宋_GB2312" w:hAnsi="仿宋_GB2312" w:cs="仿宋_GB2312" w:eastAsia="仿宋_GB2312"/>
              </w:rPr>
              <w:t>15.省/市要素保障施工许可手续：省/市要素保障施工许可手续相关操作包括手续列表可通过基础字段快速查询和弹出框多条件复杂查询，不同用户能配置展示字段，还有“四个一批”汇总、手续办理、一键成文加工成Word导出、单位统计导出、导出项目册（Word形式且每条数据信息单独一页）以及常规的手续导出。</w:t>
            </w:r>
          </w:p>
          <w:p>
            <w:pPr>
              <w:pStyle w:val="null3"/>
              <w:jc w:val="both"/>
            </w:pPr>
            <w:r>
              <w:rPr>
                <w:rFonts w:ascii="仿宋_GB2312" w:hAnsi="仿宋_GB2312" w:cs="仿宋_GB2312" w:eastAsia="仿宋_GB2312"/>
              </w:rPr>
              <w:t>16.要素保障数据看板：要素保障数据看板可依据要素类型进行统计查询、对要素办结情况进行统计查询、对要素计划办结和实际办结情况对比统计查询，能展示手续办理流程趋势图，还可按区域和项目类型办理情况分别进行对比分析统计。</w:t>
            </w:r>
          </w:p>
          <w:p>
            <w:pPr>
              <w:pStyle w:val="null3"/>
              <w:numPr>
                <w:ilvl w:val="0"/>
                <w:numId w:val="1"/>
              </w:numPr>
              <w:jc w:val="both"/>
            </w:pPr>
            <w:r>
              <w:rPr>
                <w:rFonts w:ascii="仿宋_GB2312" w:hAnsi="仿宋_GB2312" w:cs="仿宋_GB2312" w:eastAsia="仿宋_GB2312"/>
              </w:rPr>
              <w:t>项目问题管理功能需求</w:t>
            </w:r>
          </w:p>
          <w:p>
            <w:pPr>
              <w:pStyle w:val="null3"/>
              <w:jc w:val="both"/>
            </w:pPr>
            <w:r>
              <w:rPr>
                <w:rFonts w:ascii="仿宋_GB2312" w:hAnsi="仿宋_GB2312" w:cs="仿宋_GB2312" w:eastAsia="仿宋_GB2312"/>
              </w:rPr>
              <w:t>项目主管责任单位或建设单位实时反馈项目建设中的问题，由发改委协调安排解决，再由责任单位或建设单位进行问题解决验收，实行闭环管理。</w:t>
            </w:r>
          </w:p>
          <w:p>
            <w:pPr>
              <w:pStyle w:val="null3"/>
              <w:jc w:val="both"/>
            </w:pPr>
            <w:r>
              <w:rPr>
                <w:rFonts w:ascii="仿宋_GB2312" w:hAnsi="仿宋_GB2312" w:cs="仿宋_GB2312" w:eastAsia="仿宋_GB2312"/>
              </w:rPr>
              <w:t>1.重大事项专栏：重大事项专栏涉及相关信息，包括可通过基础字段快速查询和弹出框多条件复杂查询，不同用户能配置列表展示字段，支持导出，还有进展填报、处理结果反馈、督办、处理时限预警、录入、审批、转办、下发等操作。</w:t>
            </w:r>
          </w:p>
          <w:p>
            <w:pPr>
              <w:pStyle w:val="null3"/>
              <w:jc w:val="both"/>
            </w:pPr>
            <w:r>
              <w:rPr>
                <w:rFonts w:ascii="仿宋_GB2312" w:hAnsi="仿宋_GB2312" w:cs="仿宋_GB2312" w:eastAsia="仿宋_GB2312"/>
              </w:rPr>
              <w:t>2.年度计划项目问题管理：年度计划项目问题录入、修改、删除、附件上传、审批、转办、下发和上报功能。按照建设年度、项目名称、责任单位等查询，导出按钮导出问题信息，通过设置按钮可以自行选择想要展示的字段。</w:t>
            </w:r>
          </w:p>
          <w:p>
            <w:pPr>
              <w:pStyle w:val="null3"/>
              <w:jc w:val="both"/>
            </w:pPr>
            <w:r>
              <w:rPr>
                <w:rFonts w:ascii="仿宋_GB2312" w:hAnsi="仿宋_GB2312" w:cs="仿宋_GB2312" w:eastAsia="仿宋_GB2312"/>
              </w:rPr>
              <w:t>3.“四个一批”项目问题管理：“四个一批”项目问题录入、修改、删除、附件上传、审批、转办、下发和上报功能。按照建设年度、项目名称、责任单位等查询，导出按钮导出问题信息，通过设置按钮可以自行选择想要展示的字段。</w:t>
            </w:r>
          </w:p>
          <w:p>
            <w:pPr>
              <w:pStyle w:val="null3"/>
              <w:jc w:val="both"/>
            </w:pPr>
            <w:r>
              <w:rPr>
                <w:rFonts w:ascii="仿宋_GB2312" w:hAnsi="仿宋_GB2312" w:cs="仿宋_GB2312" w:eastAsia="仿宋_GB2312"/>
              </w:rPr>
              <w:t>4.项目问题数据看板：项目问题数据看板可进行多种问题情况的统计查询，包括五年规划项目的合规性情况汇总、推进问题情况、支撑问题情况，以及“四个一批”项目的投资问题情况、要素保障问题情况、纳统问题情况和招商项目转化问题情况。</w:t>
            </w:r>
          </w:p>
          <w:p>
            <w:pPr>
              <w:pStyle w:val="null3"/>
              <w:ind w:firstLine="880"/>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200"/>
              <w:jc w:val="left"/>
            </w:pPr>
            <w:r>
              <w:rPr>
                <w:rFonts w:ascii="仿宋_GB2312" w:hAnsi="仿宋_GB2312" w:cs="仿宋_GB2312" w:eastAsia="仿宋_GB2312"/>
              </w:rPr>
              <w:t>应用支撑需求:</w:t>
            </w:r>
          </w:p>
          <w:p>
            <w:pPr>
              <w:pStyle w:val="null3"/>
              <w:ind w:firstLine="200"/>
              <w:jc w:val="left"/>
            </w:pPr>
            <w:r>
              <w:rPr>
                <w:rFonts w:ascii="仿宋_GB2312" w:hAnsi="仿宋_GB2312" w:cs="仿宋_GB2312" w:eastAsia="仿宋_GB2312"/>
              </w:rPr>
              <w:t>本项目建设的应用系统将部署在省级政务信创云平台，利用政务云提供的操作系统、数据库、中间件等国产化基础软件支撑项目部署运行，同时本期项目充分利用省级统建公共支撑平台提供的统一身份认证、统一消息服务、统一密码服务、统一地理信息服务等公共支撑组件，支撑业务应用的政务用户身份认证、通知消息发送、数据加解密、GIS地理信息等功能。</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200"/>
              <w:jc w:val="left"/>
            </w:pPr>
            <w:r>
              <w:rPr>
                <w:rFonts w:ascii="仿宋_GB2312" w:hAnsi="仿宋_GB2312" w:cs="仿宋_GB2312" w:eastAsia="仿宋_GB2312"/>
              </w:rPr>
              <w:t>数据资源需求:</w:t>
            </w:r>
          </w:p>
          <w:p>
            <w:pPr>
              <w:pStyle w:val="null3"/>
              <w:ind w:firstLine="200"/>
              <w:jc w:val="left"/>
            </w:pPr>
            <w:r>
              <w:rPr>
                <w:rFonts w:ascii="仿宋_GB2312" w:hAnsi="仿宋_GB2312" w:cs="仿宋_GB2312" w:eastAsia="仿宋_GB2312"/>
              </w:rPr>
              <w:t>1.项目数据供给清单如表4-2所示。</w:t>
            </w:r>
          </w:p>
          <w:p>
            <w:pPr>
              <w:pStyle w:val="null3"/>
              <w:ind w:firstLine="200"/>
              <w:jc w:val="left"/>
            </w:pPr>
            <w:r>
              <w:rPr>
                <w:rFonts w:ascii="仿宋_GB2312" w:hAnsi="仿宋_GB2312" w:cs="仿宋_GB2312" w:eastAsia="仿宋_GB2312"/>
              </w:rPr>
              <w:t>表4-2本项目数据供给清单</w:t>
            </w:r>
          </w:p>
          <w:tbl>
            <w:tblPr>
              <w:tblInd w:type="dxa" w:w="120"/>
              <w:tblBorders>
                <w:top w:val="none" w:color="000000" w:sz="4"/>
                <w:left w:val="none" w:color="000000" w:sz="4"/>
                <w:bottom w:val="none" w:color="000000" w:sz="4"/>
                <w:right w:val="none" w:color="000000" w:sz="4"/>
                <w:insideH w:val="none"/>
                <w:insideV w:val="none"/>
              </w:tblBorders>
            </w:tblPr>
            <w:tblGrid>
              <w:gridCol w:w="732"/>
              <w:gridCol w:w="551"/>
              <w:gridCol w:w="371"/>
              <w:gridCol w:w="217"/>
              <w:gridCol w:w="249"/>
              <w:gridCol w:w="217"/>
              <w:gridCol w:w="217"/>
            </w:tblGrid>
            <w:tr>
              <w:tc>
                <w:tcPr>
                  <w:tcW w:type="dxa" w:w="7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数据名称</w:t>
                  </w:r>
                </w:p>
              </w:tc>
              <w:tc>
                <w:tcPr>
                  <w:tcW w:type="dxa" w:w="5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数据来源</w:t>
                  </w:r>
                </w:p>
              </w:tc>
              <w:tc>
                <w:tcPr>
                  <w:tcW w:type="dxa" w:w="3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供给部门（单位）</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数据类型</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共享类型</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共享方式</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更新周期</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项目开工信息、项目进展信息和项目竣工信息</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重点项目“四个一批”管理系统</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省发改委</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结构化</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无条件共享</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接口调用</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每周</w:t>
                  </w:r>
                </w:p>
              </w:tc>
            </w:tr>
          </w:tbl>
          <w:p>
            <w:pPr>
              <w:pStyle w:val="null3"/>
              <w:ind w:firstLine="200"/>
              <w:jc w:val="left"/>
            </w:pPr>
            <w:r>
              <w:rPr>
                <w:rFonts w:ascii="仿宋_GB2312" w:hAnsi="仿宋_GB2312" w:cs="仿宋_GB2312" w:eastAsia="仿宋_GB2312"/>
              </w:rPr>
              <w:t>2.本项目数据需求清单</w:t>
            </w:r>
          </w:p>
          <w:p>
            <w:pPr>
              <w:pStyle w:val="null3"/>
              <w:ind w:firstLine="200"/>
              <w:jc w:val="left"/>
            </w:pPr>
            <w:r>
              <w:rPr>
                <w:rFonts w:ascii="仿宋_GB2312" w:hAnsi="仿宋_GB2312" w:cs="仿宋_GB2312" w:eastAsia="仿宋_GB2312"/>
              </w:rPr>
              <w:t>项目数据需求清单如表4-3所示。</w:t>
            </w:r>
          </w:p>
          <w:p>
            <w:pPr>
              <w:pStyle w:val="null3"/>
              <w:ind w:firstLine="200"/>
              <w:jc w:val="left"/>
            </w:pPr>
            <w:r>
              <w:rPr>
                <w:rFonts w:ascii="仿宋_GB2312" w:hAnsi="仿宋_GB2312" w:cs="仿宋_GB2312" w:eastAsia="仿宋_GB2312"/>
              </w:rPr>
              <w:t>表4-3本项目数据需求清单</w:t>
            </w:r>
          </w:p>
          <w:tbl>
            <w:tblPr>
              <w:tblBorders>
                <w:top w:val="none" w:color="000000" w:sz="4"/>
                <w:left w:val="none" w:color="000000" w:sz="4"/>
                <w:bottom w:val="none" w:color="000000" w:sz="4"/>
                <w:right w:val="none" w:color="000000" w:sz="4"/>
                <w:insideH w:val="none"/>
                <w:insideV w:val="none"/>
              </w:tblBorders>
            </w:tblPr>
            <w:tblGrid>
              <w:gridCol w:w="249"/>
              <w:gridCol w:w="327"/>
              <w:gridCol w:w="430"/>
              <w:gridCol w:w="794"/>
              <w:gridCol w:w="376"/>
              <w:gridCol w:w="376"/>
            </w:tblGrid>
            <w:tr>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数据名称</w:t>
                  </w:r>
                </w:p>
              </w:tc>
              <w:tc>
                <w:tcPr>
                  <w:tcW w:type="dxa" w:w="3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提供单位（部门）</w:t>
                  </w:r>
                </w:p>
              </w:tc>
              <w:tc>
                <w:tcPr>
                  <w:tcW w:type="dxa" w:w="4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产生该需求的事项或业务名称</w:t>
                  </w:r>
                </w:p>
              </w:tc>
              <w:tc>
                <w:tcPr>
                  <w:tcW w:type="dxa" w:w="7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应用场景</w:t>
                  </w:r>
                </w:p>
              </w:tc>
              <w:tc>
                <w:tcPr>
                  <w:tcW w:type="dxa" w:w="3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用数系统</w:t>
                  </w:r>
                </w:p>
              </w:tc>
              <w:tc>
                <w:tcPr>
                  <w:tcW w:type="dxa" w:w="3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共享方式</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项目手续</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省发改委</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掌握项目实施手续情况</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项目手续随项目主要信息一同展示</w:t>
                  </w:r>
                </w:p>
              </w:tc>
              <w:tc>
                <w:tcPr>
                  <w:tcW w:type="dxa" w:w="3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重点项目“四个一批”管理系统</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接口调用</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项目申报库</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各地市平台</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“四个一批”项目</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收集展示申报库项目信息，接收申报库项目列表数据，查询申报库项目信息</w:t>
                  </w:r>
                </w:p>
              </w:tc>
              <w:tc>
                <w:tcPr>
                  <w:tcW w:type="dxa" w:w="376"/>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接口调用</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项目谋划库</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各地市平台</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“四个一批”项目</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收集展示谋划库项目信息，接收谋划库项目列表数据，查询谋划库项目信息</w:t>
                  </w:r>
                </w:p>
              </w:tc>
              <w:tc>
                <w:tcPr>
                  <w:tcW w:type="dxa" w:w="376"/>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接口调用</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项目储备库</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各地市平台</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“四个一批”项目</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收集展示储备库项目信息，接收储备库项目列表数据，查询储备库项目信息</w:t>
                  </w:r>
                </w:p>
              </w:tc>
              <w:tc>
                <w:tcPr>
                  <w:tcW w:type="dxa" w:w="376"/>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接口调用</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项目开工库</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各地市平台</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“四个一批”项目</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收集展示开工库项目信息，接收开工库项目列表数据，查询开工库项目信息</w:t>
                  </w:r>
                </w:p>
              </w:tc>
              <w:tc>
                <w:tcPr>
                  <w:tcW w:type="dxa" w:w="376"/>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接口调用</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项目投产库</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各地市平台</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“四个一批”项目</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收集展示投产库项目信息，接收投产库项目列表数据，查询投产库项目信息</w:t>
                  </w:r>
                </w:p>
              </w:tc>
              <w:tc>
                <w:tcPr>
                  <w:tcW w:type="dxa" w:w="376"/>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接口调用</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项目月度信息</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各地市平台</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“四个一批”项目</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收集展示项目月度信息，接收月度列表数据，查询月度信息</w:t>
                  </w:r>
                </w:p>
              </w:tc>
              <w:tc>
                <w:tcPr>
                  <w:tcW w:type="dxa" w:w="376"/>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接口调用</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项目手续信息</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各地市平台</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“四个一批”项目</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收集展示项目手续信息，接收手续列表数据，查询手续信息</w:t>
                  </w:r>
                </w:p>
              </w:tc>
              <w:tc>
                <w:tcPr>
                  <w:tcW w:type="dxa" w:w="376"/>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接口调用</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项目附件信息</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各地市平台</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“四个一批”项目</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收集展示项目附件信息，接收附件列表数据，查询附件信息</w:t>
                  </w:r>
                </w:p>
              </w:tc>
              <w:tc>
                <w:tcPr>
                  <w:tcW w:type="dxa" w:w="376"/>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19"/>
                    </w:rPr>
                    <w:t>接口调用</w:t>
                  </w:r>
                </w:p>
              </w:tc>
            </w:tr>
          </w:tbl>
          <w:p>
            <w:pPr>
              <w:pStyle w:val="null3"/>
              <w:ind w:firstLine="200"/>
              <w:jc w:val="left"/>
            </w:pPr>
            <w:r>
              <w:rPr>
                <w:rFonts w:ascii="仿宋_GB2312" w:hAnsi="仿宋_GB2312" w:cs="仿宋_GB2312" w:eastAsia="仿宋_GB2312"/>
              </w:rPr>
              <w:t>3.数据资源规划需求</w:t>
            </w:r>
          </w:p>
          <w:p>
            <w:pPr>
              <w:pStyle w:val="null3"/>
              <w:ind w:firstLine="200"/>
              <w:jc w:val="left"/>
            </w:pPr>
            <w:r>
              <w:rPr>
                <w:rFonts w:ascii="仿宋_GB2312" w:hAnsi="仿宋_GB2312" w:cs="仿宋_GB2312" w:eastAsia="仿宋_GB2312"/>
              </w:rPr>
              <w:t>根据省发改委基础平台技术导则关于数据构成的标准规范，结合陕西省发改委业务实际需要，接入数据形成原始库，建设基础库、主题库、专题库和共享交换库。</w:t>
            </w:r>
          </w:p>
          <w:p>
            <w:pPr>
              <w:pStyle w:val="null3"/>
              <w:ind w:firstLine="200"/>
              <w:jc w:val="left"/>
            </w:pPr>
            <w:r>
              <w:rPr>
                <w:rFonts w:ascii="仿宋_GB2312" w:hAnsi="仿宋_GB2312" w:cs="仿宋_GB2312" w:eastAsia="仿宋_GB2312"/>
              </w:rPr>
              <w:t>重点项目“四个一批”管理系统将在信创环境中进行国产化开发建设，而陕西项目管理服务数字化平台暂时不进行国产化迁移，因此本次数据资源规划所形成的基础库、主题库、专题库和共享交换库将新建，为后续陕西项目管理服务数字化平台国产化迁移打下基础，并对陕西项目管理服务数字化平台其他子系统提供数据支撑。</w:t>
            </w:r>
          </w:p>
          <w:p>
            <w:pPr>
              <w:pStyle w:val="null3"/>
              <w:ind w:firstLine="200"/>
              <w:jc w:val="left"/>
            </w:pPr>
            <w:r>
              <w:rPr>
                <w:rFonts w:ascii="仿宋_GB2312" w:hAnsi="仿宋_GB2312" w:cs="仿宋_GB2312" w:eastAsia="仿宋_GB2312"/>
              </w:rPr>
              <w:t>1.原始库：用于接入通过各渠道获取的原始数据，对不同来源的数据，按照数据的原始格式进行存储，完成初步的数据汇聚归集，本期项目原始库数据主要来源于该平台现有系统的数据。</w:t>
            </w:r>
          </w:p>
          <w:p>
            <w:pPr>
              <w:pStyle w:val="null3"/>
              <w:ind w:firstLine="200"/>
              <w:jc w:val="left"/>
            </w:pPr>
            <w:r>
              <w:rPr>
                <w:rFonts w:ascii="仿宋_GB2312" w:hAnsi="仿宋_GB2312" w:cs="仿宋_GB2312" w:eastAsia="仿宋_GB2312"/>
              </w:rPr>
              <w:t>2.基础库：主要涵盖重点项目“四个一批”管理系统核心业务及应用的基本信息数据。本期建设内容主要包括用户库、机构库、角色库等库表内容。</w:t>
            </w:r>
          </w:p>
          <w:p>
            <w:pPr>
              <w:pStyle w:val="null3"/>
              <w:ind w:firstLine="200"/>
              <w:jc w:val="left"/>
            </w:pPr>
            <w:r>
              <w:rPr>
                <w:rFonts w:ascii="仿宋_GB2312" w:hAnsi="仿宋_GB2312" w:cs="仿宋_GB2312" w:eastAsia="仿宋_GB2312"/>
              </w:rPr>
              <w:t>3.主题库：围绕某一主题对象进行数据分析和整理后形成的数据集合，是在较高层次对相关对象的完整数据描述，能刻画各个对象所涉及的各个维度、各个要素之间的关系。本期建设主要包括“四个一批”项目库、年度计划项目库、招商签约项目库等库表内容。</w:t>
            </w:r>
          </w:p>
          <w:p>
            <w:pPr>
              <w:pStyle w:val="null3"/>
              <w:ind w:firstLine="200"/>
              <w:jc w:val="left"/>
            </w:pPr>
            <w:r>
              <w:rPr>
                <w:rFonts w:ascii="仿宋_GB2312" w:hAnsi="仿宋_GB2312" w:cs="仿宋_GB2312" w:eastAsia="仿宋_GB2312"/>
              </w:rPr>
              <w:t>4.专题库：存储与专项业务相关的来自不同资源、不同主题的数据，服务于某一专门领域的业务应用。本期建设主要包括进展库、项目手续库、项目地域分布库等库表内容。</w:t>
            </w:r>
          </w:p>
          <w:p>
            <w:pPr>
              <w:pStyle w:val="null3"/>
              <w:ind w:firstLine="200"/>
              <w:jc w:val="left"/>
            </w:pPr>
            <w:r>
              <w:rPr>
                <w:rFonts w:ascii="仿宋_GB2312" w:hAnsi="仿宋_GB2312" w:cs="仿宋_GB2312" w:eastAsia="仿宋_GB2312"/>
              </w:rPr>
              <w:t>5.共享交换库：主要用于存放向委内外推送和获取的数据，本期建设主要包括市级“四个一批”项目库、手续库、附件库、月度库等库表内容。</w:t>
            </w:r>
          </w:p>
          <w:p>
            <w:pPr>
              <w:pStyle w:val="null3"/>
              <w:ind w:firstLine="200"/>
              <w:jc w:val="left"/>
            </w:pPr>
            <w:r>
              <w:rPr>
                <w:rFonts w:ascii="仿宋_GB2312" w:hAnsi="仿宋_GB2312" w:cs="仿宋_GB2312" w:eastAsia="仿宋_GB2312"/>
              </w:rPr>
              <w:t>4.与其他应用系统的数据交换与共享需求</w:t>
            </w:r>
          </w:p>
          <w:p>
            <w:pPr>
              <w:pStyle w:val="null3"/>
              <w:ind w:firstLine="200"/>
              <w:jc w:val="left"/>
            </w:pPr>
            <w:r>
              <w:rPr>
                <w:rFonts w:ascii="仿宋_GB2312" w:hAnsi="仿宋_GB2312" w:cs="仿宋_GB2312" w:eastAsia="仿宋_GB2312"/>
              </w:rPr>
              <w:t>为贯彻落实省委省政府要求，把高质量要求落实到项目建设各环节、全过程，完善“谋划一批、储备一批、开工一批、投产一批”项目动态管理机制，对省本级项目进行动态管理，地市项目信息和状态信息可以进行集中监测，将谋划储备的质量和数量、前期工作的深度、项目建设的进度管理纳入项目全生命周期管理体系。系统对数据共享交换的需求主要包括与发改委垂直系统、与委内1个业务系统的数据共享交换需求，具体如下：</w:t>
            </w:r>
          </w:p>
          <w:p>
            <w:pPr>
              <w:pStyle w:val="null3"/>
              <w:ind w:firstLine="200"/>
              <w:jc w:val="left"/>
            </w:pPr>
            <w:r>
              <w:rPr>
                <w:rFonts w:ascii="仿宋_GB2312" w:hAnsi="仿宋_GB2312" w:cs="仿宋_GB2312" w:eastAsia="仿宋_GB2312"/>
              </w:rPr>
              <w:t>1.与发改委垂直系统对接需求：本期项目需与已经完成市级项目管理平台建设的西安市重点项目综合管理平台、延安市发展改革委员会重点项目“多库联通”数字管理平台、铜川市重点项目智慧管理云平台、商洛市项目管理平台、咸阳市项目管理平台、宝鸡市重点项目前期及重点项目智慧管理云平台、安康市重点项目智慧管理云平台7个系统通过业务协同、数据协同等方式完成项目数据汇聚，进行数据监测和宏观分析，提供决策参考。对没有相关系统的地市用户进行申报端口开放，通过权限配置仅完成本地市相关的项目信息上报。</w:t>
            </w:r>
          </w:p>
          <w:p>
            <w:pPr>
              <w:pStyle w:val="null3"/>
              <w:ind w:firstLine="200"/>
              <w:jc w:val="left"/>
            </w:pPr>
            <w:r>
              <w:rPr>
                <w:rFonts w:ascii="仿宋_GB2312" w:hAnsi="仿宋_GB2312" w:cs="仿宋_GB2312" w:eastAsia="仿宋_GB2312"/>
              </w:rPr>
              <w:t>2.与委内系统对接需求：本期项目需与委内陕西省投资项目在线审批监管平台1个系统完成系统对接工作。一是调取陕西省投资项目在线审批监管平台相关项目基本关键信息、审批事项数据，及时更新本系统中重点项目审批（核准、备案）批复情况、重点项目节能审查批复情况；二是将本系统中项目建设进展情况相关数据推送至陕西省投资项目在线审批监管平台，及时反映项目审批后的建设进展情况。</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网络安全需求:</w:t>
            </w:r>
          </w:p>
          <w:p>
            <w:pPr>
              <w:pStyle w:val="null3"/>
              <w:jc w:val="both"/>
            </w:pPr>
            <w:r>
              <w:rPr>
                <w:rFonts w:ascii="仿宋_GB2312" w:hAnsi="仿宋_GB2312" w:cs="仿宋_GB2312" w:eastAsia="仿宋_GB2312"/>
              </w:rPr>
              <w:t>1.等级保护需求</w:t>
            </w:r>
          </w:p>
          <w:p>
            <w:pPr>
              <w:pStyle w:val="null3"/>
              <w:ind w:firstLine="480"/>
              <w:jc w:val="both"/>
            </w:pPr>
            <w:r>
              <w:rPr>
                <w:rFonts w:ascii="仿宋_GB2312" w:hAnsi="仿宋_GB2312" w:cs="仿宋_GB2312" w:eastAsia="仿宋_GB2312"/>
              </w:rPr>
              <w:t>根据《信息安全技术网络安全等级保护测评要求》（GB/T28448-2019），安全保护等级、业务信息安全保护等级、系统服务安全保护等级，所以选取《基本要求》中相对应的三级系统的指标。测评指标如下表4-4所示：</w:t>
            </w:r>
          </w:p>
          <w:p>
            <w:pPr>
              <w:pStyle w:val="null3"/>
              <w:jc w:val="center"/>
            </w:pPr>
            <w:r>
              <w:rPr>
                <w:rFonts w:ascii="仿宋_GB2312" w:hAnsi="仿宋_GB2312" w:cs="仿宋_GB2312" w:eastAsia="仿宋_GB2312"/>
              </w:rPr>
              <w:t>表4-4测评指标</w:t>
            </w:r>
          </w:p>
          <w:tbl>
            <w:tblPr>
              <w:tblInd w:type="dxa" w:w="120"/>
              <w:tblBorders>
                <w:top w:val="none" w:color="000000" w:sz="4"/>
                <w:left w:val="none" w:color="000000" w:sz="4"/>
                <w:bottom w:val="none" w:color="000000" w:sz="4"/>
                <w:right w:val="none" w:color="000000" w:sz="4"/>
                <w:insideH w:val="none"/>
                <w:insideV w:val="none"/>
              </w:tblBorders>
            </w:tblPr>
            <w:tblGrid>
              <w:gridCol w:w="276"/>
              <w:gridCol w:w="318"/>
              <w:gridCol w:w="1946"/>
            </w:tblGrid>
            <w:tr>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层面</w:t>
                  </w:r>
                </w:p>
              </w:tc>
              <w:tc>
                <w:tcPr>
                  <w:tcW w:type="dxa" w:w="3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控制点</w:t>
                  </w:r>
                </w:p>
              </w:tc>
              <w:tc>
                <w:tcPr>
                  <w:tcW w:type="dxa" w:w="19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测评要求项</w:t>
                  </w:r>
                </w:p>
              </w:tc>
            </w:tr>
            <w:tr>
              <w:tc>
                <w:tcPr>
                  <w:tcW w:type="dxa" w:w="2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安全通信网络</w:t>
                  </w:r>
                </w:p>
              </w:tc>
              <w:tc>
                <w:tcPr>
                  <w:tcW w:type="dxa" w:w="3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网络架构</w:t>
                  </w: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a) 应保证云计算平台不承载高于其安全保护等级的业务应用系统；</w:t>
                  </w:r>
                </w:p>
              </w:tc>
            </w:tr>
            <w:tr>
              <w:tc>
                <w:tcPr>
                  <w:tcW w:type="dxa" w:w="2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b) 应实现不同云服务客户虚拟网络之间的隔离；</w:t>
                  </w:r>
                </w:p>
              </w:tc>
            </w:tr>
            <w:tr>
              <w:tc>
                <w:tcPr>
                  <w:tcW w:type="dxa" w:w="2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c) 应具有根据云服务客户业务需求提供通信传输、边界防护、入侵防范等安全机制的能力；</w:t>
                  </w:r>
                </w:p>
              </w:tc>
            </w:tr>
            <w:tr>
              <w:tc>
                <w:tcPr>
                  <w:tcW w:type="dxa" w:w="2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d) 应具有根据云服务客户业务需求自主设置安全策略的能力，包括定义访问路径、选择安全组件、配置安全策略；</w:t>
                  </w:r>
                </w:p>
              </w:tc>
            </w:tr>
            <w:tr>
              <w:tc>
                <w:tcPr>
                  <w:tcW w:type="dxa" w:w="2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e) 应提供开放接口或开放性安全服务，允许云服务客户接入第三方安全产品或在云计算平台选择第三方安全服务。</w:t>
                  </w:r>
                </w:p>
              </w:tc>
            </w:tr>
            <w:tr>
              <w:tc>
                <w:tcPr>
                  <w:tcW w:type="dxa" w:w="2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安全区域边界</w:t>
                  </w:r>
                </w:p>
              </w:tc>
              <w:tc>
                <w:tcPr>
                  <w:tcW w:type="dxa" w:w="3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访问控制</w:t>
                  </w: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a) 应在虚拟化网络边界部署访问控制机制，并设置访问控制规则；</w:t>
                  </w:r>
                </w:p>
              </w:tc>
            </w:tr>
            <w:tr>
              <w:tc>
                <w:tcPr>
                  <w:tcW w:type="dxa" w:w="2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b) 应在不同等级的网络区域边界部署访问控制机制，设置访问控制规则。</w:t>
                  </w:r>
                </w:p>
              </w:tc>
            </w:tr>
            <w:tr>
              <w:tc>
                <w:tcPr>
                  <w:tcW w:type="dxa" w:w="276"/>
                  <w:vMerge/>
                  <w:tcBorders>
                    <w:top w:val="none" w:color="000000" w:sz="4"/>
                    <w:left w:val="single" w:color="000000" w:sz="4"/>
                    <w:bottom w:val="single" w:color="000000" w:sz="4"/>
                    <w:right w:val="single" w:color="000000" w:sz="4"/>
                  </w:tcBorders>
                </w:tcPr>
                <w:p/>
              </w:tc>
              <w:tc>
                <w:tcPr>
                  <w:tcW w:type="dxa" w:w="3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入侵防范</w:t>
                  </w: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a) 应能检测到云服务客户发起的网络攻击行为，并能记录攻击类型、攻击时间、攻击流量等；</w:t>
                  </w:r>
                </w:p>
              </w:tc>
            </w:tr>
            <w:tr>
              <w:tc>
                <w:tcPr>
                  <w:tcW w:type="dxa" w:w="2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b) 应能检测到对虚拟网络节点的网络攻击行为，并能记录攻击类型、攻击时间、攻击流量等；</w:t>
                  </w:r>
                </w:p>
              </w:tc>
            </w:tr>
            <w:tr>
              <w:tc>
                <w:tcPr>
                  <w:tcW w:type="dxa" w:w="2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c) 应能检测到虚拟机与宿主机、虚拟机与虚拟机之间的异常流量；</w:t>
                  </w:r>
                </w:p>
              </w:tc>
            </w:tr>
            <w:tr>
              <w:tc>
                <w:tcPr>
                  <w:tcW w:type="dxa" w:w="2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d) 应在检测到网络攻击行为、异常流量情况时进行告警。</w:t>
                  </w:r>
                </w:p>
              </w:tc>
            </w:tr>
            <w:tr>
              <w:tc>
                <w:tcPr>
                  <w:tcW w:type="dxa" w:w="276"/>
                  <w:vMerge/>
                  <w:tcBorders>
                    <w:top w:val="none" w:color="000000" w:sz="4"/>
                    <w:left w:val="single" w:color="000000" w:sz="4"/>
                    <w:bottom w:val="single" w:color="000000" w:sz="4"/>
                    <w:right w:val="single" w:color="000000" w:sz="4"/>
                  </w:tcBorders>
                </w:tcPr>
                <w:p/>
              </w:tc>
              <w:tc>
                <w:tcPr>
                  <w:tcW w:type="dxa" w:w="3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安全审计</w:t>
                  </w: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a) 应对云服务商和云服务客户在远程管理时执行的特权命令进行审计，至少包括虚拟机删除、虚拟机重启；</w:t>
                  </w:r>
                </w:p>
              </w:tc>
            </w:tr>
            <w:tr>
              <w:tc>
                <w:tcPr>
                  <w:tcW w:type="dxa" w:w="2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b) 应保证云服务商对云服务客户系统和数据的操作可被云服务客户审计。</w:t>
                  </w:r>
                </w:p>
              </w:tc>
            </w:tr>
            <w:tr>
              <w:tc>
                <w:tcPr>
                  <w:tcW w:type="dxa" w:w="2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安全计算环境</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身份鉴别</w:t>
                  </w: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当远程管理云计算平台中设备时，管理终端和云计算平台之间应建立双向身份验证机制。</w:t>
                  </w:r>
                </w:p>
              </w:tc>
            </w:tr>
            <w:tr>
              <w:tc>
                <w:tcPr>
                  <w:tcW w:type="dxa" w:w="276"/>
                  <w:vMerge/>
                  <w:tcBorders>
                    <w:top w:val="none" w:color="000000" w:sz="4"/>
                    <w:left w:val="single" w:color="000000" w:sz="4"/>
                    <w:bottom w:val="single" w:color="000000" w:sz="4"/>
                    <w:right w:val="single" w:color="000000" w:sz="4"/>
                  </w:tcBorders>
                </w:tcPr>
                <w:p/>
              </w:tc>
              <w:tc>
                <w:tcPr>
                  <w:tcW w:type="dxa" w:w="3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访问控制</w:t>
                  </w: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a) 应保证当虚拟机迁移时，访问控制策略随其迁移；</w:t>
                  </w:r>
                </w:p>
              </w:tc>
            </w:tr>
            <w:tr>
              <w:tc>
                <w:tcPr>
                  <w:tcW w:type="dxa" w:w="2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b) 应允许云服务客户设置不同虚拟机之间的访问控制策略。</w:t>
                  </w:r>
                </w:p>
              </w:tc>
            </w:tr>
            <w:tr>
              <w:tc>
                <w:tcPr>
                  <w:tcW w:type="dxa" w:w="276"/>
                  <w:vMerge/>
                  <w:tcBorders>
                    <w:top w:val="none" w:color="000000" w:sz="4"/>
                    <w:left w:val="single" w:color="000000" w:sz="4"/>
                    <w:bottom w:val="single" w:color="000000" w:sz="4"/>
                    <w:right w:val="single" w:color="000000" w:sz="4"/>
                  </w:tcBorders>
                </w:tcPr>
                <w:p/>
              </w:tc>
              <w:tc>
                <w:tcPr>
                  <w:tcW w:type="dxa" w:w="3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入侵防范</w:t>
                  </w: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a) 应能检测虚拟机之间的资源隔离失效，并进行告警；</w:t>
                  </w:r>
                </w:p>
              </w:tc>
            </w:tr>
            <w:tr>
              <w:tc>
                <w:tcPr>
                  <w:tcW w:type="dxa" w:w="2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b) 应能检测非授权新建虚拟机或者重新启用虚拟机，并进行告警；</w:t>
                  </w:r>
                </w:p>
              </w:tc>
            </w:tr>
            <w:tr>
              <w:tc>
                <w:tcPr>
                  <w:tcW w:type="dxa" w:w="2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c) 应能够检测恶意代码感染及在虚拟机间蔓延的情况，并进行告警。</w:t>
                  </w:r>
                </w:p>
              </w:tc>
            </w:tr>
            <w:tr>
              <w:tc>
                <w:tcPr>
                  <w:tcW w:type="dxa" w:w="276"/>
                  <w:vMerge/>
                  <w:tcBorders>
                    <w:top w:val="none" w:color="000000" w:sz="4"/>
                    <w:left w:val="single" w:color="000000" w:sz="4"/>
                    <w:bottom w:val="single" w:color="000000" w:sz="4"/>
                    <w:right w:val="single" w:color="000000" w:sz="4"/>
                  </w:tcBorders>
                </w:tcPr>
                <w:p/>
              </w:tc>
              <w:tc>
                <w:tcPr>
                  <w:tcW w:type="dxa" w:w="3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镜像和快照保护</w:t>
                  </w: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a) 应针对重要业务系统提供加固的操作系统镜像或操作系统安全加固服务；</w:t>
                  </w:r>
                </w:p>
              </w:tc>
            </w:tr>
            <w:tr>
              <w:tc>
                <w:tcPr>
                  <w:tcW w:type="dxa" w:w="2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b) 应提供虚拟机镜像、快照完整性校验功能，防止虚拟机镜像被恶意篡改；</w:t>
                  </w:r>
                </w:p>
              </w:tc>
            </w:tr>
            <w:tr>
              <w:tc>
                <w:tcPr>
                  <w:tcW w:type="dxa" w:w="2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c) 应采取密码技术或其他技术手段防止虚拟机镜像、快照中可能存在的敏感资源被非法访问。</w:t>
                  </w:r>
                </w:p>
              </w:tc>
            </w:tr>
            <w:tr>
              <w:tc>
                <w:tcPr>
                  <w:tcW w:type="dxa" w:w="276"/>
                  <w:vMerge/>
                  <w:tcBorders>
                    <w:top w:val="none" w:color="000000" w:sz="4"/>
                    <w:left w:val="single" w:color="000000" w:sz="4"/>
                    <w:bottom w:val="single" w:color="000000" w:sz="4"/>
                    <w:right w:val="single" w:color="000000" w:sz="4"/>
                  </w:tcBorders>
                </w:tcPr>
                <w:p/>
              </w:tc>
              <w:tc>
                <w:tcPr>
                  <w:tcW w:type="dxa" w:w="3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数据完整性和保密性</w:t>
                  </w: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a) 应确保云服务客户数据、用户个人信息等存储于中国境内，如需出境应遵循国家相关规定；</w:t>
                  </w:r>
                </w:p>
              </w:tc>
            </w:tr>
            <w:tr>
              <w:tc>
                <w:tcPr>
                  <w:tcW w:type="dxa" w:w="2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b) 应确保只有在云服务客户授权下，云服务商或第三方才具有云服务客户数据的管理权限；</w:t>
                  </w:r>
                </w:p>
              </w:tc>
            </w:tr>
            <w:tr>
              <w:tc>
                <w:tcPr>
                  <w:tcW w:type="dxa" w:w="2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c) 应使用校验码或密码技术确保虚拟机迁移过程中重要数据的完整性，并在检测到完整性受到破坏时采取必要的恢复措施；</w:t>
                  </w:r>
                </w:p>
              </w:tc>
            </w:tr>
            <w:tr>
              <w:tc>
                <w:tcPr>
                  <w:tcW w:type="dxa" w:w="2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d) 应支持云服务客户部署密钥管理解决方案，保证云服务客户自行实现数据的加解密过程。</w:t>
                  </w:r>
                </w:p>
              </w:tc>
            </w:tr>
            <w:tr>
              <w:tc>
                <w:tcPr>
                  <w:tcW w:type="dxa" w:w="276"/>
                  <w:vMerge/>
                  <w:tcBorders>
                    <w:top w:val="none" w:color="000000" w:sz="4"/>
                    <w:left w:val="single" w:color="000000" w:sz="4"/>
                    <w:bottom w:val="single" w:color="000000" w:sz="4"/>
                    <w:right w:val="single" w:color="000000" w:sz="4"/>
                  </w:tcBorders>
                </w:tcPr>
                <w:p/>
              </w:tc>
              <w:tc>
                <w:tcPr>
                  <w:tcW w:type="dxa" w:w="3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数据备份和恢复</w:t>
                  </w: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a) 云服务客户应在本地保存其业务数据的备份；</w:t>
                  </w:r>
                </w:p>
              </w:tc>
            </w:tr>
            <w:tr>
              <w:tc>
                <w:tcPr>
                  <w:tcW w:type="dxa" w:w="2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b) 应提供查询云服务客户数据及备份存储位置的能力；</w:t>
                  </w:r>
                </w:p>
              </w:tc>
            </w:tr>
            <w:tr>
              <w:tc>
                <w:tcPr>
                  <w:tcW w:type="dxa" w:w="2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c) 云服务商的云存储服务应保证云服务客户数据存在若干个可用的副本，各副本之间的内容应保持一致；</w:t>
                  </w:r>
                </w:p>
              </w:tc>
            </w:tr>
            <w:tr>
              <w:tc>
                <w:tcPr>
                  <w:tcW w:type="dxa" w:w="2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d) 应为云服务客户将业务系统及数据迁移到其他云计算平台和本地系统提供技术手段，并协助完成迁移过程。</w:t>
                  </w:r>
                </w:p>
              </w:tc>
            </w:tr>
            <w:tr>
              <w:tc>
                <w:tcPr>
                  <w:tcW w:type="dxa" w:w="276"/>
                  <w:vMerge/>
                  <w:tcBorders>
                    <w:top w:val="none" w:color="000000" w:sz="4"/>
                    <w:left w:val="single" w:color="000000" w:sz="4"/>
                    <w:bottom w:val="single" w:color="000000" w:sz="4"/>
                    <w:right w:val="single" w:color="000000" w:sz="4"/>
                  </w:tcBorders>
                </w:tcPr>
                <w:p/>
              </w:tc>
              <w:tc>
                <w:tcPr>
                  <w:tcW w:type="dxa" w:w="3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剩余信息保护</w:t>
                  </w: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a) 应保证虚拟机所使用的内存和存储空间回收时得到完全清除；</w:t>
                  </w:r>
                </w:p>
              </w:tc>
            </w:tr>
            <w:tr>
              <w:tc>
                <w:tcPr>
                  <w:tcW w:type="dxa" w:w="2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b) 云服务客户删除业务应用数据时，云计算平台应将云存储中所有副本删除。</w:t>
                  </w:r>
                </w:p>
              </w:tc>
            </w:tr>
            <w:tr>
              <w:tc>
                <w:tcPr>
                  <w:tcW w:type="dxa" w:w="2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安全管理中心</w:t>
                  </w:r>
                </w:p>
              </w:tc>
              <w:tc>
                <w:tcPr>
                  <w:tcW w:type="dxa" w:w="3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集中管控</w:t>
                  </w: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a) 应能对物理资源和虚拟资源按照策略做统一管理调度与分配；</w:t>
                  </w:r>
                </w:p>
              </w:tc>
            </w:tr>
            <w:tr>
              <w:tc>
                <w:tcPr>
                  <w:tcW w:type="dxa" w:w="2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b) 应保证云计算平台管理流量与云服务客户业务流量分离；</w:t>
                  </w:r>
                </w:p>
              </w:tc>
            </w:tr>
            <w:tr>
              <w:tc>
                <w:tcPr>
                  <w:tcW w:type="dxa" w:w="2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c) 应根据云服务商和云服务客户的职责划分，收集各自控制部分的审计数据并实现各自的集中审计；</w:t>
                  </w:r>
                </w:p>
              </w:tc>
            </w:tr>
            <w:tr>
              <w:tc>
                <w:tcPr>
                  <w:tcW w:type="dxa" w:w="2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d) 应根据云服务商和云服务客户的职责划分，实现各自控制部分，包括虚拟化网络、虚拟机、虚拟化安全设备等的运行状况的集中监测。</w:t>
                  </w:r>
                </w:p>
              </w:tc>
            </w:tr>
            <w:tr>
              <w:tc>
                <w:tcPr>
                  <w:tcW w:type="dxa" w:w="2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安全建设管理</w:t>
                  </w:r>
                </w:p>
              </w:tc>
              <w:tc>
                <w:tcPr>
                  <w:tcW w:type="dxa" w:w="3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云服务商选择</w:t>
                  </w: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a) 应选择安全合规的云服务商，其所提供的云计算平台应为其所承载的业务应用系统提供相应等级的安全保护能力；</w:t>
                  </w:r>
                </w:p>
              </w:tc>
            </w:tr>
            <w:tr>
              <w:tc>
                <w:tcPr>
                  <w:tcW w:type="dxa" w:w="2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b) 应在服务水平协议中规定云服务的各项服务内容和具体技术指标；</w:t>
                  </w:r>
                </w:p>
              </w:tc>
            </w:tr>
            <w:tr>
              <w:tc>
                <w:tcPr>
                  <w:tcW w:type="dxa" w:w="2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c) 应在服务水平协议中规定云服务商的权限与责任，包括管理范围、职责划分、访问授权、隐私保护、行为准则、违约责任等；</w:t>
                  </w:r>
                </w:p>
              </w:tc>
            </w:tr>
            <w:tr>
              <w:tc>
                <w:tcPr>
                  <w:tcW w:type="dxa" w:w="2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d) 应在服务水平协议中规定服务合约到期时，完整提供云服务客户数据，并承诺相关数据在云计算平台上清除；</w:t>
                  </w:r>
                </w:p>
              </w:tc>
            </w:tr>
            <w:tr>
              <w:tc>
                <w:tcPr>
                  <w:tcW w:type="dxa" w:w="2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e) 应与选定的云服务商签署保密协议，要求其不得泄露云服务客户数据。</w:t>
                  </w:r>
                </w:p>
              </w:tc>
            </w:tr>
            <w:tr>
              <w:tc>
                <w:tcPr>
                  <w:tcW w:type="dxa" w:w="276"/>
                  <w:vMerge/>
                  <w:tcBorders>
                    <w:top w:val="none" w:color="000000" w:sz="4"/>
                    <w:left w:val="single" w:color="000000" w:sz="4"/>
                    <w:bottom w:val="single" w:color="000000" w:sz="4"/>
                    <w:right w:val="single" w:color="000000" w:sz="4"/>
                  </w:tcBorders>
                </w:tcPr>
                <w:p/>
              </w:tc>
              <w:tc>
                <w:tcPr>
                  <w:tcW w:type="dxa" w:w="3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供应链管理</w:t>
                  </w: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a) 应确保供应商的选择符合国家有关规定；</w:t>
                  </w:r>
                </w:p>
              </w:tc>
            </w:tr>
            <w:tr>
              <w:tc>
                <w:tcPr>
                  <w:tcW w:type="dxa" w:w="2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b) 应将供应链安全事件信息或安全威胁信息及时传达到云服务客户；</w:t>
                  </w:r>
                </w:p>
              </w:tc>
            </w:tr>
            <w:tr>
              <w:tc>
                <w:tcPr>
                  <w:tcW w:type="dxa" w:w="276"/>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c) 应将供应商的重要变更及时传达到云服务客户，并评估变更带来的安全风险，采取措施对风险进行控制。</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安全运维管理</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云计算环境管理</w:t>
                  </w:r>
                </w:p>
              </w:tc>
              <w:tc>
                <w:tcPr>
                  <w:tcW w:type="dxa" w:w="1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云计算平台的运维地点应位于中国境内，境外对境内云计算平台实施运维操作应遵循国家相关规定。</w:t>
                  </w:r>
                </w:p>
              </w:tc>
            </w:tr>
          </w:tbl>
          <w:p>
            <w:pPr>
              <w:pStyle w:val="null3"/>
              <w:jc w:val="both"/>
            </w:pPr>
            <w:r>
              <w:rPr>
                <w:rFonts w:ascii="仿宋_GB2312" w:hAnsi="仿宋_GB2312" w:cs="仿宋_GB2312" w:eastAsia="仿宋_GB2312"/>
              </w:rPr>
              <w:t>2.密码应用需求</w:t>
            </w:r>
          </w:p>
          <w:p>
            <w:pPr>
              <w:pStyle w:val="null3"/>
              <w:ind w:firstLine="480"/>
              <w:jc w:val="both"/>
            </w:pPr>
            <w:r>
              <w:rPr>
                <w:rFonts w:ascii="仿宋_GB2312" w:hAnsi="仿宋_GB2312" w:cs="仿宋_GB2312" w:eastAsia="仿宋_GB2312"/>
              </w:rPr>
              <w:t>本次重点项目“四个一批”管理系统建设完成后部署在西咸信创云平台政务外网区。项目利用省级统建的公共支撑平台的统一密码服务平台服务接口，提供统一的签名验签、数据加解密、完整性保护等服务，具体应用需求如下：</w:t>
            </w:r>
          </w:p>
          <w:p>
            <w:pPr>
              <w:pStyle w:val="null3"/>
              <w:ind w:firstLine="480"/>
              <w:jc w:val="both"/>
            </w:pPr>
            <w:r>
              <w:rPr>
                <w:rFonts w:ascii="仿宋_GB2312" w:hAnsi="仿宋_GB2312" w:cs="仿宋_GB2312" w:eastAsia="仿宋_GB2312"/>
              </w:rPr>
              <w:t>（1）信息机密性服务。依赖SM4分组对称密码算法，为系统提供应用级数据存储加解密服务。通过数据加解密服务，实现重要数据以及文件的机密性保护。</w:t>
            </w:r>
          </w:p>
          <w:p>
            <w:pPr>
              <w:pStyle w:val="null3"/>
              <w:ind w:firstLine="480"/>
              <w:jc w:val="both"/>
            </w:pPr>
            <w:r>
              <w:rPr>
                <w:rFonts w:ascii="仿宋_GB2312" w:hAnsi="仿宋_GB2312" w:cs="仿宋_GB2312" w:eastAsia="仿宋_GB2312"/>
              </w:rPr>
              <w:t>（2）信息完整性服务。为系统提供数据存储完整性保护服务。通过基于SM2算法的数字签名技术、SM3-HMAC技术、SM4-MAC技术，对数据存储和查询过程中进行完整性运算和校验服务，防止数据在存储和使用过程中的非授权篡改。</w:t>
            </w:r>
          </w:p>
          <w:p>
            <w:pPr>
              <w:pStyle w:val="null3"/>
              <w:ind w:firstLine="480"/>
              <w:jc w:val="both"/>
            </w:pPr>
            <w:r>
              <w:rPr>
                <w:rFonts w:ascii="仿宋_GB2312" w:hAnsi="仿宋_GB2312" w:cs="仿宋_GB2312" w:eastAsia="仿宋_GB2312"/>
              </w:rPr>
              <w:t>（3）抗抵赖服务。使用数字签名、时间戳等密码技术提供数据原发证据和数据接收证据，在信息系统中实现实体行为的不可否认性，对所需要无法否认的行为进行保护，包括发送、接受、审核、创建、修改、删除、添加、配置等行为。</w:t>
            </w:r>
          </w:p>
          <w:p>
            <w:pPr>
              <w:pStyle w:val="null3"/>
              <w:ind w:firstLine="480"/>
              <w:jc w:val="both"/>
            </w:pPr>
            <w:r>
              <w:rPr>
                <w:rFonts w:ascii="仿宋_GB2312" w:hAnsi="仿宋_GB2312" w:cs="仿宋_GB2312" w:eastAsia="仿宋_GB2312"/>
              </w:rPr>
              <w:t>（4）时间戳服务。主要基于时间戳系统、配合签名验签服务或者电子签章服务为应用系统提供可信安全的时间戳服务，基于时分纬度的真实性、防抵赖服务。</w:t>
            </w:r>
          </w:p>
          <w:p>
            <w:pPr>
              <w:pStyle w:val="null3"/>
              <w:ind w:firstLine="480"/>
              <w:jc w:val="both"/>
            </w:pPr>
            <w:r>
              <w:rPr>
                <w:rFonts w:ascii="仿宋_GB2312" w:hAnsi="仿宋_GB2312" w:cs="仿宋_GB2312" w:eastAsia="仿宋_GB2312"/>
              </w:rPr>
              <w:t>结合《信息安全技术 信息系统密码应用基本要求》（GB/T 39786-2021）要求，对重点项目“四个一批”管理系统提供身份真实性、机密性、完整性和不可否认性等密码测评服务，按照密评三级要求完成密码应用安全性评估，并提供密评报告。</w:t>
            </w:r>
          </w:p>
          <w:p>
            <w:pPr>
              <w:pStyle w:val="null3"/>
              <w:ind w:firstLine="480"/>
              <w:jc w:val="both"/>
            </w:pPr>
            <w:r>
              <w:rPr>
                <w:rFonts w:ascii="仿宋_GB2312" w:hAnsi="仿宋_GB2312" w:cs="仿宋_GB2312" w:eastAsia="仿宋_GB2312"/>
              </w:rPr>
              <w:t>通过对平台项目各业务应用系统的密码应用场景进行分析，整理出本期项目的密码应用需求如表4-5所示。</w:t>
            </w:r>
          </w:p>
          <w:p>
            <w:pPr>
              <w:pStyle w:val="null3"/>
              <w:jc w:val="center"/>
            </w:pPr>
            <w:r>
              <w:rPr>
                <w:rFonts w:ascii="仿宋_GB2312" w:hAnsi="仿宋_GB2312" w:cs="仿宋_GB2312" w:eastAsia="仿宋_GB2312"/>
              </w:rPr>
              <w:t>表</w:t>
            </w:r>
            <w:r>
              <w:rPr>
                <w:rFonts w:ascii="仿宋_GB2312" w:hAnsi="仿宋_GB2312" w:cs="仿宋_GB2312" w:eastAsia="仿宋_GB2312"/>
              </w:rPr>
              <w:t>4</w:t>
            </w:r>
            <w:r>
              <w:rPr>
                <w:rFonts w:ascii="仿宋_GB2312" w:hAnsi="仿宋_GB2312" w:cs="仿宋_GB2312" w:eastAsia="仿宋_GB2312"/>
              </w:rPr>
              <w:t>?5密码应用需求表</w:t>
            </w:r>
          </w:p>
          <w:tbl>
            <w:tblPr>
              <w:tblInd w:type="dxa" w:w="120"/>
              <w:tblBorders>
                <w:top w:val="none" w:color="000000" w:sz="4"/>
                <w:left w:val="none" w:color="000000" w:sz="4"/>
                <w:bottom w:val="none" w:color="000000" w:sz="4"/>
                <w:right w:val="none" w:color="000000" w:sz="4"/>
                <w:insideH w:val="none"/>
                <w:insideV w:val="none"/>
              </w:tblBorders>
            </w:tblPr>
            <w:tblGrid>
              <w:gridCol w:w="205"/>
              <w:gridCol w:w="652"/>
              <w:gridCol w:w="1327"/>
              <w:gridCol w:w="368"/>
            </w:tblGrid>
            <w:tr>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安全层面</w:t>
                  </w:r>
                </w:p>
              </w:tc>
              <w:tc>
                <w:tcPr>
                  <w:tcW w:type="dxa" w:w="6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指标要求</w:t>
                  </w:r>
                </w:p>
              </w:tc>
              <w:tc>
                <w:tcPr>
                  <w:tcW w:type="dxa" w:w="13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系统密码应用需求</w:t>
                  </w:r>
                </w:p>
              </w:tc>
              <w:tc>
                <w:tcPr>
                  <w:tcW w:type="dxa" w:w="3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不适用说明或替代措施</w:t>
                  </w:r>
                </w:p>
              </w:tc>
            </w:tr>
            <w:tr>
              <w:tc>
                <w:tcPr>
                  <w:tcW w:type="dxa" w:w="2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物理和环境安全</w:t>
                  </w: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身份鉴别</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采用满足《GM/T 0036-2014 采用非接触卡的门禁系统密码应用技术指南》要求的门禁系统，保证重要区域进入人员身份的真实性。</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无</w:t>
                  </w:r>
                </w:p>
              </w:tc>
            </w:tr>
            <w:tr>
              <w:tc>
                <w:tcPr>
                  <w:tcW w:type="dxa" w:w="205"/>
                  <w:vMerge/>
                  <w:tcBorders>
                    <w:top w:val="none" w:color="000000" w:sz="4"/>
                    <w:left w:val="single" w:color="000000" w:sz="4"/>
                    <w:bottom w:val="single" w:color="000000" w:sz="4"/>
                    <w:right w:val="single" w:color="000000" w:sz="4"/>
                  </w:tcBorders>
                </w:tcP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电子门禁记录数据存储完整性</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针对电子门禁记录，采用密码技术做数据存储完整性保护，防止电子门禁数据被篡改。</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无</w:t>
                  </w:r>
                </w:p>
              </w:tc>
            </w:tr>
            <w:tr>
              <w:tc>
                <w:tcPr>
                  <w:tcW w:type="dxa" w:w="205"/>
                  <w:vMerge/>
                  <w:tcBorders>
                    <w:top w:val="none" w:color="000000" w:sz="4"/>
                    <w:left w:val="single" w:color="000000" w:sz="4"/>
                    <w:bottom w:val="single" w:color="000000" w:sz="4"/>
                    <w:right w:val="single" w:color="000000" w:sz="4"/>
                  </w:tcBorders>
                </w:tcP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视频监控记录数据存储完整性</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针对机房视频记录数据，采密码技术做真实性保护和完整性保护，防止视频数据被篡改。</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无</w:t>
                  </w:r>
                </w:p>
              </w:tc>
            </w:tr>
            <w:tr>
              <w:tc>
                <w:tcPr>
                  <w:tcW w:type="dxa" w:w="205"/>
                  <w:vMerge/>
                  <w:tcBorders>
                    <w:top w:val="none" w:color="000000" w:sz="4"/>
                    <w:left w:val="single" w:color="000000" w:sz="4"/>
                    <w:bottom w:val="single" w:color="000000" w:sz="4"/>
                    <w:right w:val="single" w:color="000000" w:sz="4"/>
                  </w:tcBorders>
                </w:tcP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密码服务</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信息系统使用的密码服务应符合法律法规的相关要求。</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无</w:t>
                  </w:r>
                </w:p>
              </w:tc>
            </w:tr>
            <w:tr>
              <w:tc>
                <w:tcPr>
                  <w:tcW w:type="dxa" w:w="205"/>
                  <w:vMerge/>
                  <w:tcBorders>
                    <w:top w:val="none" w:color="000000" w:sz="4"/>
                    <w:left w:val="single" w:color="000000" w:sz="4"/>
                    <w:bottom w:val="single" w:color="000000" w:sz="4"/>
                    <w:right w:val="single" w:color="000000" w:sz="4"/>
                  </w:tcBorders>
                </w:tcP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密码产品</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采用的密码产品，应达到GB/T 37092二级及以上安全要求。</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无</w:t>
                  </w:r>
                </w:p>
              </w:tc>
            </w:tr>
            <w:tr>
              <w:tc>
                <w:tcPr>
                  <w:tcW w:type="dxa" w:w="2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网络和通信安全</w:t>
                  </w: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身份鉴别</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在通信前使用密码技术对用户和设备进行身份鉴别和认证，保障通信实体的真实性。</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无</w:t>
                  </w:r>
                </w:p>
              </w:tc>
            </w:tr>
            <w:tr>
              <w:tc>
                <w:tcPr>
                  <w:tcW w:type="dxa" w:w="205"/>
                  <w:vMerge/>
                  <w:tcBorders>
                    <w:top w:val="none" w:color="000000" w:sz="4"/>
                    <w:left w:val="single" w:color="000000" w:sz="4"/>
                    <w:bottom w:val="single" w:color="000000" w:sz="4"/>
                    <w:right w:val="single" w:color="000000" w:sz="4"/>
                  </w:tcBorders>
                </w:tcP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通信数据完整性</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使用密码技术实现通信报文的完整性。</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无</w:t>
                  </w:r>
                </w:p>
              </w:tc>
            </w:tr>
            <w:tr>
              <w:tc>
                <w:tcPr>
                  <w:tcW w:type="dxa" w:w="205"/>
                  <w:vMerge/>
                  <w:tcBorders>
                    <w:top w:val="none" w:color="000000" w:sz="4"/>
                    <w:left w:val="single" w:color="000000" w:sz="4"/>
                    <w:bottom w:val="single" w:color="000000" w:sz="4"/>
                    <w:right w:val="single" w:color="000000" w:sz="4"/>
                  </w:tcBorders>
                </w:tcP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通信过程中重要数据的机密性</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采用密码技术保证通信过程中重要数据的机密性。</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无</w:t>
                  </w:r>
                </w:p>
              </w:tc>
            </w:tr>
            <w:tr>
              <w:tc>
                <w:tcPr>
                  <w:tcW w:type="dxa" w:w="205"/>
                  <w:vMerge/>
                  <w:tcBorders>
                    <w:top w:val="none" w:color="000000" w:sz="4"/>
                    <w:left w:val="single" w:color="000000" w:sz="4"/>
                    <w:bottom w:val="single" w:color="000000" w:sz="4"/>
                    <w:right w:val="single" w:color="000000" w:sz="4"/>
                  </w:tcBorders>
                </w:tcP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网络边界访问控制信息的完整性</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采用密码技术保证网络边界访问控制信息的完整性。</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无</w:t>
                  </w:r>
                </w:p>
              </w:tc>
            </w:tr>
            <w:tr>
              <w:tc>
                <w:tcPr>
                  <w:tcW w:type="dxa" w:w="2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设备和计算安全</w:t>
                  </w: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身份鉴别</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采用密码技术对登录设备的用户进行身份鉴别，保证用户身份的真实性。</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无</w:t>
                  </w:r>
                </w:p>
              </w:tc>
            </w:tr>
            <w:tr>
              <w:tc>
                <w:tcPr>
                  <w:tcW w:type="dxa" w:w="205"/>
                  <w:vMerge/>
                  <w:tcBorders>
                    <w:top w:val="none" w:color="000000" w:sz="4"/>
                    <w:left w:val="single" w:color="000000" w:sz="4"/>
                    <w:bottom w:val="single" w:color="000000" w:sz="4"/>
                    <w:right w:val="single" w:color="000000" w:sz="4"/>
                  </w:tcBorders>
                </w:tcP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远程管理通道安全</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远程管理设备时，采用密码技术建立安全的信息传输通道。</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无</w:t>
                  </w:r>
                </w:p>
              </w:tc>
            </w:tr>
            <w:tr>
              <w:tc>
                <w:tcPr>
                  <w:tcW w:type="dxa" w:w="205"/>
                  <w:vMerge/>
                  <w:tcBorders>
                    <w:top w:val="none" w:color="000000" w:sz="4"/>
                    <w:left w:val="single" w:color="000000" w:sz="4"/>
                    <w:bottom w:val="single" w:color="000000" w:sz="4"/>
                    <w:right w:val="single" w:color="000000" w:sz="4"/>
                  </w:tcBorders>
                </w:tcP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系统资源访问控制信息完整性</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采用密码技术保证系统资源访问控制信息的完整性。</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无</w:t>
                  </w:r>
                </w:p>
              </w:tc>
            </w:tr>
            <w:tr>
              <w:tc>
                <w:tcPr>
                  <w:tcW w:type="dxa" w:w="205"/>
                  <w:vMerge/>
                  <w:tcBorders>
                    <w:top w:val="none" w:color="000000" w:sz="4"/>
                    <w:left w:val="single" w:color="000000" w:sz="4"/>
                    <w:bottom w:val="single" w:color="000000" w:sz="4"/>
                    <w:right w:val="single" w:color="000000" w:sz="4"/>
                  </w:tcBorders>
                </w:tcP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重要信息资源安全标记完整性</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采用密码技术实现重要信息资源安全标记的完整性。</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无</w:t>
                  </w:r>
                </w:p>
              </w:tc>
            </w:tr>
            <w:tr>
              <w:tc>
                <w:tcPr>
                  <w:tcW w:type="dxa" w:w="205"/>
                  <w:vMerge/>
                  <w:tcBorders>
                    <w:top w:val="none" w:color="000000" w:sz="4"/>
                    <w:left w:val="single" w:color="000000" w:sz="4"/>
                    <w:bottom w:val="single" w:color="000000" w:sz="4"/>
                    <w:right w:val="single" w:color="000000" w:sz="4"/>
                  </w:tcBorders>
                </w:tcP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日志记录完整性</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采用密码技术保证日志记录的完整性。</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无</w:t>
                  </w:r>
                </w:p>
              </w:tc>
            </w:tr>
            <w:tr>
              <w:tc>
                <w:tcPr>
                  <w:tcW w:type="dxa" w:w="205"/>
                  <w:vMerge/>
                  <w:tcBorders>
                    <w:top w:val="none" w:color="000000" w:sz="4"/>
                    <w:left w:val="single" w:color="000000" w:sz="4"/>
                    <w:bottom w:val="single" w:color="000000" w:sz="4"/>
                    <w:right w:val="single" w:color="000000" w:sz="4"/>
                  </w:tcBorders>
                </w:tcP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重要可执行程序完整性、重要可执行程序来源真实性</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采用密码技术实现重要可执行程序的完整性和重要可执行程序来源真实性。</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无</w:t>
                  </w:r>
                </w:p>
              </w:tc>
            </w:tr>
            <w:tr>
              <w:tc>
                <w:tcPr>
                  <w:tcW w:type="dxa" w:w="2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应用和数据安全</w:t>
                  </w: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身份鉴别</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采用密码技术对业务应用登录用户进行身份鉴别，保证应用系统用户身份的真实性。</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无</w:t>
                  </w:r>
                </w:p>
              </w:tc>
            </w:tr>
            <w:tr>
              <w:tc>
                <w:tcPr>
                  <w:tcW w:type="dxa" w:w="205"/>
                  <w:vMerge/>
                  <w:tcBorders>
                    <w:top w:val="none" w:color="000000" w:sz="4"/>
                    <w:left w:val="single" w:color="000000" w:sz="4"/>
                    <w:bottom w:val="single" w:color="000000" w:sz="4"/>
                    <w:right w:val="single" w:color="000000" w:sz="4"/>
                  </w:tcBorders>
                </w:tcP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访问控制信息完整性</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采用密码技术实现访问控制信息完整性。</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无</w:t>
                  </w:r>
                </w:p>
              </w:tc>
            </w:tr>
            <w:tr>
              <w:tc>
                <w:tcPr>
                  <w:tcW w:type="dxa" w:w="205"/>
                  <w:vMerge/>
                  <w:tcBorders>
                    <w:top w:val="none" w:color="000000" w:sz="4"/>
                    <w:left w:val="single" w:color="000000" w:sz="4"/>
                    <w:bottom w:val="single" w:color="000000" w:sz="4"/>
                    <w:right w:val="single" w:color="000000" w:sz="4"/>
                  </w:tcBorders>
                </w:tcP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重要信息资源安全标记完整性</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采用密码技术实现重要信息资源安全标记完整性。</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无</w:t>
                  </w:r>
                </w:p>
              </w:tc>
            </w:tr>
            <w:tr>
              <w:tc>
                <w:tcPr>
                  <w:tcW w:type="dxa" w:w="205"/>
                  <w:vMerge/>
                  <w:tcBorders>
                    <w:top w:val="none" w:color="000000" w:sz="4"/>
                    <w:left w:val="single" w:color="000000" w:sz="4"/>
                    <w:bottom w:val="single" w:color="000000" w:sz="4"/>
                    <w:right w:val="single" w:color="000000" w:sz="4"/>
                  </w:tcBorders>
                </w:tcP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重要数据传输机密性</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采用密码技术实现重要数据传输机密性。</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无</w:t>
                  </w:r>
                </w:p>
              </w:tc>
            </w:tr>
            <w:tr>
              <w:tc>
                <w:tcPr>
                  <w:tcW w:type="dxa" w:w="205"/>
                  <w:vMerge/>
                  <w:tcBorders>
                    <w:top w:val="none" w:color="000000" w:sz="4"/>
                    <w:left w:val="single" w:color="000000" w:sz="4"/>
                    <w:bottom w:val="single" w:color="000000" w:sz="4"/>
                    <w:right w:val="single" w:color="000000" w:sz="4"/>
                  </w:tcBorders>
                </w:tcP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重要数据存储机密性</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采用密码技术实现重要数据存储机密性。</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无</w:t>
                  </w:r>
                </w:p>
              </w:tc>
            </w:tr>
            <w:tr>
              <w:tc>
                <w:tcPr>
                  <w:tcW w:type="dxa" w:w="205"/>
                  <w:vMerge/>
                  <w:tcBorders>
                    <w:top w:val="none" w:color="000000" w:sz="4"/>
                    <w:left w:val="single" w:color="000000" w:sz="4"/>
                    <w:bottom w:val="single" w:color="000000" w:sz="4"/>
                    <w:right w:val="single" w:color="000000" w:sz="4"/>
                  </w:tcBorders>
                </w:tcP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重要数据传输完整性</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采用密码技术实现重要数据传输完整性。</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无</w:t>
                  </w:r>
                </w:p>
              </w:tc>
            </w:tr>
            <w:tr>
              <w:tc>
                <w:tcPr>
                  <w:tcW w:type="dxa" w:w="205"/>
                  <w:vMerge/>
                  <w:tcBorders>
                    <w:top w:val="none" w:color="000000" w:sz="4"/>
                    <w:left w:val="single" w:color="000000" w:sz="4"/>
                    <w:bottom w:val="single" w:color="000000" w:sz="4"/>
                    <w:right w:val="single" w:color="000000" w:sz="4"/>
                  </w:tcBorders>
                </w:tcP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重要数据存储完整性</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采用密码技术实现重要数据存储完整性。</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无</w:t>
                  </w:r>
                </w:p>
              </w:tc>
            </w:tr>
            <w:tr>
              <w:tc>
                <w:tcPr>
                  <w:tcW w:type="dxa" w:w="205"/>
                  <w:vMerge/>
                  <w:tcBorders>
                    <w:top w:val="none" w:color="000000" w:sz="4"/>
                    <w:left w:val="single" w:color="000000" w:sz="4"/>
                    <w:bottom w:val="single" w:color="000000" w:sz="4"/>
                    <w:right w:val="single" w:color="000000" w:sz="4"/>
                  </w:tcBorders>
                </w:tcP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不可否认性</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采用密码技术实现重要数据操作行为的不可否认性。</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无</w:t>
                  </w:r>
                </w:p>
              </w:tc>
            </w:tr>
            <w:tr>
              <w:tc>
                <w:tcPr>
                  <w:tcW w:type="dxa" w:w="2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安全管理</w:t>
                  </w: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管理制度</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具备密码应用安全管理制度、密钥管理规则、建立操作规程、定期修订安全管理制度、明确管理制度发布流程、制度执行过程记录留存。</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无</w:t>
                  </w:r>
                </w:p>
              </w:tc>
            </w:tr>
            <w:tr>
              <w:tc>
                <w:tcPr>
                  <w:tcW w:type="dxa" w:w="205"/>
                  <w:vMerge/>
                  <w:tcBorders>
                    <w:top w:val="none" w:color="000000" w:sz="4"/>
                    <w:left w:val="single" w:color="000000" w:sz="4"/>
                    <w:bottom w:val="single" w:color="000000" w:sz="4"/>
                    <w:right w:val="single" w:color="000000" w:sz="4"/>
                  </w:tcBorders>
                </w:tcP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人员管理</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了解并遵守密码相关法律法规和 密码管理制度、建立密码应用岗位责任制度、建立上岗人员培训制度、定期进行安全岗位人员考核、建立关键岗位人员保密制度和调离制度。</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无</w:t>
                  </w:r>
                </w:p>
              </w:tc>
            </w:tr>
            <w:tr>
              <w:tc>
                <w:tcPr>
                  <w:tcW w:type="dxa" w:w="205"/>
                  <w:vMerge/>
                  <w:tcBorders>
                    <w:top w:val="none" w:color="000000" w:sz="4"/>
                    <w:left w:val="single" w:color="000000" w:sz="4"/>
                    <w:bottom w:val="single" w:color="000000" w:sz="4"/>
                    <w:right w:val="single" w:color="000000" w:sz="4"/>
                  </w:tcBorders>
                </w:tcP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建设运行</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制定密码应用方案、制定密钥安全管理策略、制定实施方案、投入运行前进行密码应用安全性评估、定期开展密码应用安全性评估及 攻防对抗演习。</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无</w:t>
                  </w:r>
                </w:p>
              </w:tc>
            </w:tr>
            <w:tr>
              <w:tc>
                <w:tcPr>
                  <w:tcW w:type="dxa" w:w="205"/>
                  <w:vMerge/>
                  <w:tcBorders>
                    <w:top w:val="none" w:color="000000" w:sz="4"/>
                    <w:left w:val="single" w:color="000000" w:sz="4"/>
                    <w:bottom w:val="single" w:color="000000" w:sz="4"/>
                    <w:right w:val="single" w:color="000000" w:sz="4"/>
                  </w:tcBorders>
                </w:tcP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应急处置</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应急策略、事件处置、向有关主管部门上报处置情况。</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无</w:t>
                  </w:r>
                </w:p>
              </w:tc>
            </w:tr>
          </w:tbl>
          <w:p>
            <w:pPr>
              <w:pStyle w:val="null3"/>
              <w:jc w:val="both"/>
            </w:pPr>
            <w:r>
              <w:rPr>
                <w:rFonts w:ascii="仿宋_GB2312" w:hAnsi="仿宋_GB2312" w:cs="仿宋_GB2312" w:eastAsia="仿宋_GB2312"/>
              </w:rPr>
              <w:t>3.国产自主可控应用需求</w:t>
            </w:r>
          </w:p>
          <w:p>
            <w:pPr>
              <w:pStyle w:val="null3"/>
              <w:ind w:firstLine="480"/>
              <w:jc w:val="both"/>
            </w:pPr>
            <w:r>
              <w:rPr>
                <w:rFonts w:ascii="仿宋_GB2312" w:hAnsi="仿宋_GB2312" w:cs="仿宋_GB2312" w:eastAsia="仿宋_GB2312"/>
              </w:rPr>
              <w:t>本次新建的重点项目“四个一批”管理系统将直接使用国产自主可控设计，部署在陕西省政务信创云数据中心，所需的国产自主可控应用需求如表4-6所示：</w:t>
            </w:r>
          </w:p>
          <w:p>
            <w:pPr>
              <w:pStyle w:val="null3"/>
              <w:spacing w:after="60"/>
              <w:jc w:val="center"/>
            </w:pPr>
            <w:r>
              <w:rPr>
                <w:rFonts w:ascii="仿宋_GB2312" w:hAnsi="仿宋_GB2312" w:cs="仿宋_GB2312" w:eastAsia="仿宋_GB2312"/>
              </w:rPr>
              <w:t>表4?6国产自主可控应用需求表</w:t>
            </w:r>
          </w:p>
          <w:tbl>
            <w:tblPr>
              <w:tblInd w:type="dxa" w:w="210"/>
              <w:tblBorders>
                <w:top w:val="none" w:color="000000" w:sz="4"/>
                <w:left w:val="none" w:color="000000" w:sz="4"/>
                <w:bottom w:val="none" w:color="000000" w:sz="4"/>
                <w:right w:val="none" w:color="000000" w:sz="4"/>
                <w:insideH w:val="none"/>
                <w:insideV w:val="none"/>
              </w:tblBorders>
            </w:tblPr>
            <w:tblGrid>
              <w:gridCol w:w="279"/>
              <w:gridCol w:w="918"/>
              <w:gridCol w:w="589"/>
              <w:gridCol w:w="756"/>
            </w:tblGrid>
            <w:tr>
              <w:tc>
                <w:tcPr>
                  <w:tcW w:type="dxa" w:w="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9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系统名称</w:t>
                  </w:r>
                </w:p>
              </w:tc>
              <w:tc>
                <w:tcPr>
                  <w:tcW w:type="dxa" w:w="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适配项</w:t>
                  </w:r>
                </w:p>
              </w:tc>
              <w:tc>
                <w:tcPr>
                  <w:tcW w:type="dxa" w:w="7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适配产品</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91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重点项目“四个一批”管理系统</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操作系统</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国产操作系统</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918"/>
                  <w:vMerge/>
                  <w:tcBorders>
                    <w:top w:val="none" w:color="000000" w:sz="4"/>
                    <w:left w:val="none" w:color="000000" w:sz="4"/>
                    <w:bottom w:val="non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数据库</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国产数据库</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918"/>
                  <w:vMerge/>
                  <w:tcBorders>
                    <w:top w:val="none" w:color="000000" w:sz="4"/>
                    <w:left w:val="none" w:color="000000" w:sz="4"/>
                    <w:bottom w:val="non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中间件</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国产中间件</w:t>
                  </w:r>
                </w:p>
              </w:tc>
            </w:tr>
          </w:tbl>
          <w:p>
            <w:pPr>
              <w:pStyle w:val="null3"/>
            </w:pP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4"/>
              </w:rPr>
              <w:t>运维系统需求:</w:t>
            </w:r>
          </w:p>
          <w:p>
            <w:pPr>
              <w:pStyle w:val="null3"/>
            </w:pPr>
            <w:r>
              <w:rPr>
                <w:rFonts w:ascii="仿宋_GB2312" w:hAnsi="仿宋_GB2312" w:cs="仿宋_GB2312" w:eastAsia="仿宋_GB2312"/>
                <w:sz w:val="24"/>
              </w:rPr>
              <w:t>需要确保系统运维期间7×24小时电话咨询畅通，软件系统全周期正常运行，出现一次问题能够2小时内处理完成，较大1天内处理完成，由软件系统引起重大问题出现率为0，其他因素引起的重大问题能够在1天内配合现场处置。</w:t>
            </w:r>
          </w:p>
          <w:p>
            <w:pPr>
              <w:pStyle w:val="null3"/>
            </w:pP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4"/>
              </w:rPr>
              <w:t>系统性能及其他需求:</w:t>
            </w:r>
          </w:p>
          <w:p>
            <w:pPr>
              <w:pStyle w:val="null3"/>
              <w:jc w:val="both"/>
            </w:pPr>
            <w:r>
              <w:rPr>
                <w:rFonts w:ascii="仿宋_GB2312" w:hAnsi="仿宋_GB2312" w:cs="仿宋_GB2312" w:eastAsia="仿宋_GB2312"/>
                <w:sz w:val="24"/>
              </w:rPr>
              <w:t>(1)性能指标</w:t>
            </w:r>
          </w:p>
          <w:p>
            <w:pPr>
              <w:pStyle w:val="null3"/>
              <w:jc w:val="both"/>
            </w:pPr>
            <w:r>
              <w:rPr>
                <w:rFonts w:ascii="仿宋_GB2312" w:hAnsi="仿宋_GB2312" w:cs="仿宋_GB2312" w:eastAsia="仿宋_GB2312"/>
                <w:sz w:val="24"/>
              </w:rPr>
              <w:t>建设重点项目“四个一批”管理系统，配套的基础计算平台、基础网络平台、安全保障系统等基础设施初步建成后，提供覆盖全省各级部门用户的重点项目填报服务。本期项目建设完成后可以满足重点项目“四个一批”管理系统填报端的访问需求，平台详细性能需求如下：</w:t>
            </w:r>
          </w:p>
          <w:p>
            <w:pPr>
              <w:pStyle w:val="null3"/>
              <w:jc w:val="both"/>
            </w:pPr>
            <w:r>
              <w:rPr>
                <w:rFonts w:ascii="仿宋_GB2312" w:hAnsi="仿宋_GB2312" w:cs="仿宋_GB2312" w:eastAsia="仿宋_GB2312"/>
                <w:sz w:val="24"/>
              </w:rPr>
              <w:t>1.项目交互类业务页面响应时间小于等于5秒；</w:t>
            </w:r>
          </w:p>
          <w:p>
            <w:pPr>
              <w:pStyle w:val="null3"/>
              <w:jc w:val="both"/>
            </w:pPr>
            <w:r>
              <w:rPr>
                <w:rFonts w:ascii="仿宋_GB2312" w:hAnsi="仿宋_GB2312" w:cs="仿宋_GB2312" w:eastAsia="仿宋_GB2312"/>
                <w:sz w:val="24"/>
              </w:rPr>
              <w:t>2.项目查询类业务页面响应时间小于等于5秒；</w:t>
            </w:r>
          </w:p>
          <w:p>
            <w:pPr>
              <w:pStyle w:val="null3"/>
              <w:jc w:val="both"/>
            </w:pPr>
            <w:r>
              <w:rPr>
                <w:rFonts w:ascii="仿宋_GB2312" w:hAnsi="仿宋_GB2312" w:cs="仿宋_GB2312" w:eastAsia="仿宋_GB2312"/>
                <w:sz w:val="24"/>
              </w:rPr>
              <w:t>3.提供良好的数据安全可靠性策略，采用多种安全可靠技术手段，保证应用系统及数据的安全与可靠。在核心主机及网络设计的部分中，应有高可用性的冗余备用备份机制手段，系统应具有长期连续工作的能力和容错能力。</w:t>
            </w:r>
          </w:p>
          <w:p>
            <w:pPr>
              <w:pStyle w:val="null3"/>
              <w:spacing w:before="120" w:after="120"/>
              <w:jc w:val="left"/>
              <w:outlineLvl w:val="2"/>
            </w:pPr>
            <w:r>
              <w:rPr>
                <w:rFonts w:ascii="仿宋_GB2312" w:hAnsi="仿宋_GB2312" w:cs="仿宋_GB2312" w:eastAsia="仿宋_GB2312"/>
                <w:sz w:val="24"/>
                <w:b/>
              </w:rPr>
              <w:t>(2)并发性需求</w:t>
            </w:r>
          </w:p>
          <w:p>
            <w:pPr>
              <w:pStyle w:val="null3"/>
              <w:ind w:firstLine="480"/>
              <w:jc w:val="both"/>
            </w:pPr>
            <w:r>
              <w:rPr>
                <w:rFonts w:ascii="仿宋_GB2312" w:hAnsi="仿宋_GB2312" w:cs="仿宋_GB2312" w:eastAsia="仿宋_GB2312"/>
                <w:sz w:val="24"/>
              </w:rPr>
              <w:t>以下为重点项目“四个一批”管理系统所需资源测算情况。</w:t>
            </w:r>
          </w:p>
          <w:p>
            <w:pPr>
              <w:pStyle w:val="null3"/>
              <w:ind w:firstLine="480"/>
              <w:jc w:val="both"/>
            </w:pPr>
            <w:r>
              <w:rPr>
                <w:rFonts w:ascii="仿宋_GB2312" w:hAnsi="仿宋_GB2312" w:cs="仿宋_GB2312" w:eastAsia="仿宋_GB2312"/>
                <w:sz w:val="24"/>
              </w:rPr>
              <w:t>经调研，重点项目“四个一批”管理系统使用用户数量估算如表4-7所示。</w:t>
            </w:r>
          </w:p>
          <w:p>
            <w:pPr>
              <w:pStyle w:val="null3"/>
              <w:jc w:val="center"/>
            </w:pPr>
            <w:r>
              <w:rPr>
                <w:rFonts w:ascii="仿宋_GB2312" w:hAnsi="仿宋_GB2312" w:cs="仿宋_GB2312" w:eastAsia="仿宋_GB2312"/>
                <w:sz w:val="24"/>
              </w:rPr>
              <w:t>表</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用户量分析表</w:t>
            </w:r>
          </w:p>
          <w:tbl>
            <w:tblPr>
              <w:tblBorders>
                <w:top w:val="none" w:color="000000" w:sz="4"/>
                <w:left w:val="none" w:color="000000" w:sz="4"/>
                <w:bottom w:val="none" w:color="000000" w:sz="4"/>
                <w:right w:val="none" w:color="000000" w:sz="4"/>
                <w:insideH w:val="none"/>
                <w:insideV w:val="none"/>
              </w:tblBorders>
            </w:tblPr>
            <w:tblGrid>
              <w:gridCol w:w="617"/>
              <w:gridCol w:w="828"/>
              <w:gridCol w:w="1107"/>
            </w:tblGrid>
            <w:tr>
              <w:tc>
                <w:tcPr>
                  <w:tcW w:type="dxa" w:w="1445"/>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类别</w:t>
                  </w:r>
                </w:p>
              </w:tc>
              <w:tc>
                <w:tcPr>
                  <w:tcW w:type="dxa" w:w="110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数量/规模</w:t>
                  </w:r>
                </w:p>
              </w:tc>
            </w:tr>
            <w:tr>
              <w:tc>
                <w:tcPr>
                  <w:tcW w:type="dxa" w:w="6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用户</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系统管理人员</w:t>
                  </w:r>
                </w:p>
              </w:tc>
              <w:tc>
                <w:tcPr>
                  <w:tcW w:type="dxa" w:w="11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w:t>
                  </w:r>
                </w:p>
              </w:tc>
            </w:tr>
            <w:tr>
              <w:tc>
                <w:tcPr>
                  <w:tcW w:type="dxa" w:w="617"/>
                  <w:vMerge/>
                  <w:tcBorders>
                    <w:top w:val="none" w:color="000000" w:sz="4"/>
                    <w:left w:val="single" w:color="000000" w:sz="4"/>
                    <w:bottom w:val="single" w:color="000000" w:sz="4"/>
                    <w:right w:val="single" w:color="000000" w:sz="4"/>
                  </w:tcBorders>
                </w:tcP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管理部门用户</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1995</w:t>
                  </w:r>
                </w:p>
              </w:tc>
            </w:tr>
            <w:tr>
              <w:tc>
                <w:tcPr>
                  <w:tcW w:type="dxa" w:w="144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合计</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2002</w:t>
                  </w:r>
                </w:p>
              </w:tc>
            </w:tr>
          </w:tbl>
          <w:p>
            <w:pPr>
              <w:pStyle w:val="null3"/>
              <w:ind w:firstLine="480"/>
              <w:jc w:val="both"/>
            </w:pPr>
            <w:r>
              <w:rPr>
                <w:rFonts w:ascii="仿宋_GB2312" w:hAnsi="仿宋_GB2312" w:cs="仿宋_GB2312" w:eastAsia="仿宋_GB2312"/>
                <w:sz w:val="24"/>
              </w:rPr>
              <w:t>按照表4-8数据进行估算。</w:t>
            </w:r>
          </w:p>
          <w:p>
            <w:pPr>
              <w:pStyle w:val="null3"/>
              <w:jc w:val="center"/>
            </w:pPr>
            <w:r>
              <w:rPr>
                <w:rFonts w:ascii="仿宋_GB2312" w:hAnsi="仿宋_GB2312" w:cs="仿宋_GB2312" w:eastAsia="仿宋_GB2312"/>
                <w:sz w:val="24"/>
              </w:rPr>
              <w:t>表</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业务估算表</w:t>
            </w:r>
          </w:p>
          <w:tbl>
            <w:tblPr>
              <w:tblInd w:type="dxa" w:w="120"/>
              <w:tblBorders>
                <w:top w:val="none" w:color="000000" w:sz="4"/>
                <w:left w:val="none" w:color="000000" w:sz="4"/>
                <w:bottom w:val="none" w:color="000000" w:sz="4"/>
                <w:right w:val="none" w:color="000000" w:sz="4"/>
                <w:insideH w:val="none"/>
                <w:insideV w:val="none"/>
              </w:tblBorders>
            </w:tblPr>
            <w:tblGrid>
              <w:gridCol w:w="297"/>
              <w:gridCol w:w="891"/>
              <w:gridCol w:w="770"/>
              <w:gridCol w:w="297"/>
              <w:gridCol w:w="297"/>
            </w:tblGrid>
            <w:tr>
              <w:tc>
                <w:tcPr>
                  <w:tcW w:type="dxa" w:w="297"/>
                  <w:tcBorders>
                    <w:top w:val="single" w:color="000000" w:sz="4"/>
                    <w:left w:val="single" w:color="000000" w:sz="4"/>
                    <w:bottom w:val="single" w:color="000000" w:sz="4"/>
                    <w:right w:val="single" w:color="000000" w:sz="4"/>
                  </w:tcBorders>
                  <w:shd w:fill="FFFFFF"/>
                  <w:tcMar>
                    <w:top w:type="dxa" w:w="60"/>
                    <w:left w:type="dxa" w:w="60"/>
                    <w:bottom w:type="dxa" w:w="60"/>
                    <w:right w:type="dxa" w:w="60"/>
                  </w:tcMar>
                  <w:vAlign w:val="top"/>
                </w:tcPr>
                <w:p>
                  <w:pPr>
                    <w:pStyle w:val="null3"/>
                  </w:pPr>
                  <w:r>
                    <w:rPr>
                      <w:rFonts w:ascii="仿宋_GB2312" w:hAnsi="仿宋_GB2312" w:cs="仿宋_GB2312" w:eastAsia="仿宋_GB2312"/>
                      <w:sz w:val="24"/>
                    </w:rPr>
                    <w:t>参数</w:t>
                  </w:r>
                </w:p>
              </w:tc>
              <w:tc>
                <w:tcPr>
                  <w:tcW w:type="dxa" w:w="891"/>
                  <w:tcBorders>
                    <w:top w:val="single" w:color="000000" w:sz="4"/>
                    <w:left w:val="none" w:color="000000" w:sz="4"/>
                    <w:bottom w:val="single" w:color="000000" w:sz="4"/>
                    <w:right w:val="single" w:color="000000" w:sz="4"/>
                  </w:tcBorders>
                  <w:shd w:fill="FFFFFF"/>
                  <w:tcMar>
                    <w:top w:type="dxa" w:w="60"/>
                    <w:left w:type="dxa" w:w="60"/>
                    <w:bottom w:type="dxa" w:w="60"/>
                    <w:right w:type="dxa" w:w="60"/>
                  </w:tcMar>
                  <w:vAlign w:val="top"/>
                </w:tcPr>
                <w:p>
                  <w:pPr>
                    <w:pStyle w:val="null3"/>
                  </w:pPr>
                  <w:r>
                    <w:rPr>
                      <w:rFonts w:ascii="仿宋_GB2312" w:hAnsi="仿宋_GB2312" w:cs="仿宋_GB2312" w:eastAsia="仿宋_GB2312"/>
                      <w:sz w:val="24"/>
                    </w:rPr>
                    <w:t>参数名称</w:t>
                  </w:r>
                </w:p>
              </w:tc>
              <w:tc>
                <w:tcPr>
                  <w:tcW w:type="dxa" w:w="770"/>
                  <w:tcBorders>
                    <w:top w:val="single" w:color="000000" w:sz="4"/>
                    <w:left w:val="none" w:color="000000" w:sz="4"/>
                    <w:bottom w:val="single" w:color="000000" w:sz="4"/>
                    <w:right w:val="single" w:color="000000" w:sz="4"/>
                  </w:tcBorders>
                  <w:shd w:fill="FFFFFF"/>
                  <w:tcMar>
                    <w:top w:type="dxa" w:w="60"/>
                    <w:left w:type="dxa" w:w="60"/>
                    <w:bottom w:type="dxa" w:w="60"/>
                    <w:right w:type="dxa" w:w="60"/>
                  </w:tcMar>
                  <w:vAlign w:val="top"/>
                </w:tcPr>
                <w:p>
                  <w:pPr>
                    <w:pStyle w:val="null3"/>
                  </w:pPr>
                  <w:r>
                    <w:rPr>
                      <w:rFonts w:ascii="仿宋_GB2312" w:hAnsi="仿宋_GB2312" w:cs="仿宋_GB2312" w:eastAsia="仿宋_GB2312"/>
                      <w:sz w:val="24"/>
                    </w:rPr>
                    <w:t>来源</w:t>
                  </w:r>
                </w:p>
              </w:tc>
              <w:tc>
                <w:tcPr>
                  <w:tcW w:type="dxa" w:w="297"/>
                  <w:tcBorders>
                    <w:top w:val="single" w:color="000000" w:sz="4"/>
                    <w:left w:val="none" w:color="000000" w:sz="4"/>
                    <w:bottom w:val="single" w:color="000000" w:sz="4"/>
                    <w:right w:val="single" w:color="000000" w:sz="4"/>
                  </w:tcBorders>
                  <w:shd w:fill="FFFFFF"/>
                  <w:tcMar>
                    <w:top w:type="dxa" w:w="60"/>
                    <w:left w:type="dxa" w:w="60"/>
                    <w:bottom w:type="dxa" w:w="60"/>
                    <w:right w:type="dxa" w:w="60"/>
                  </w:tcMar>
                  <w:vAlign w:val="top"/>
                </w:tcPr>
                <w:p>
                  <w:pPr>
                    <w:pStyle w:val="null3"/>
                  </w:pPr>
                  <w:r>
                    <w:rPr>
                      <w:rFonts w:ascii="仿宋_GB2312" w:hAnsi="仿宋_GB2312" w:cs="仿宋_GB2312" w:eastAsia="仿宋_GB2312"/>
                      <w:sz w:val="24"/>
                    </w:rPr>
                    <w:t>数量</w:t>
                  </w:r>
                </w:p>
              </w:tc>
              <w:tc>
                <w:tcPr>
                  <w:tcW w:type="dxa" w:w="297"/>
                  <w:tcBorders>
                    <w:top w:val="single" w:color="000000" w:sz="4"/>
                    <w:left w:val="none" w:color="000000" w:sz="4"/>
                    <w:bottom w:val="single" w:color="000000" w:sz="4"/>
                    <w:right w:val="single" w:color="000000" w:sz="4"/>
                  </w:tcBorders>
                  <w:shd w:fill="FFFFFF"/>
                  <w:tcMar>
                    <w:top w:type="dxa" w:w="60"/>
                    <w:left w:type="dxa" w:w="60"/>
                    <w:bottom w:type="dxa" w:w="60"/>
                    <w:right w:type="dxa" w:w="60"/>
                  </w:tcMar>
                  <w:vAlign w:val="top"/>
                </w:tcPr>
                <w:p>
                  <w:pPr>
                    <w:pStyle w:val="null3"/>
                  </w:pPr>
                  <w:r>
                    <w:rPr>
                      <w:rFonts w:ascii="仿宋_GB2312" w:hAnsi="仿宋_GB2312" w:cs="仿宋_GB2312" w:eastAsia="仿宋_GB2312"/>
                      <w:sz w:val="24"/>
                    </w:rPr>
                    <w:t>单位</w:t>
                  </w:r>
                </w:p>
              </w:tc>
            </w:tr>
            <w:tr>
              <w:tc>
                <w:tcPr>
                  <w:tcW w:type="dxa" w:w="297"/>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4"/>
                    </w:rPr>
                    <w:t>n</w:t>
                  </w:r>
                </w:p>
              </w:tc>
              <w:tc>
                <w:tcPr>
                  <w:tcW w:type="dxa" w:w="891"/>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4"/>
                    </w:rPr>
                    <w:t>业务访问信息点</w:t>
                  </w:r>
                </w:p>
              </w:tc>
              <w:tc>
                <w:tcPr>
                  <w:tcW w:type="dxa" w:w="770"/>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4"/>
                    </w:rPr>
                    <w:t>根据功能表进行估算</w:t>
                  </w:r>
                </w:p>
              </w:tc>
              <w:tc>
                <w:tcPr>
                  <w:tcW w:type="dxa" w:w="297"/>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4"/>
                    </w:rPr>
                    <w:t>2000</w:t>
                  </w:r>
                </w:p>
              </w:tc>
              <w:tc>
                <w:tcPr>
                  <w:tcW w:type="dxa" w:w="297"/>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4"/>
                    </w:rPr>
                    <w:t>点</w:t>
                  </w:r>
                </w:p>
              </w:tc>
            </w:tr>
            <w:tr>
              <w:tc>
                <w:tcPr>
                  <w:tcW w:type="dxa" w:w="297"/>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4"/>
                    </w:rPr>
                    <w:t>L</w:t>
                  </w:r>
                </w:p>
              </w:tc>
              <w:tc>
                <w:tcPr>
                  <w:tcW w:type="dxa" w:w="891"/>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4"/>
                    </w:rPr>
                    <w:t>登录到退出平均时间</w:t>
                  </w:r>
                </w:p>
              </w:tc>
              <w:tc>
                <w:tcPr>
                  <w:tcW w:type="dxa" w:w="770"/>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4"/>
                    </w:rPr>
                    <w:t>估算</w:t>
                  </w:r>
                </w:p>
              </w:tc>
              <w:tc>
                <w:tcPr>
                  <w:tcW w:type="dxa" w:w="297"/>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4"/>
                    </w:rPr>
                    <w:t>1.5</w:t>
                  </w:r>
                </w:p>
              </w:tc>
              <w:tc>
                <w:tcPr>
                  <w:tcW w:type="dxa" w:w="297"/>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4"/>
                    </w:rPr>
                    <w:t>小时</w:t>
                  </w:r>
                </w:p>
              </w:tc>
            </w:tr>
            <w:tr>
              <w:tc>
                <w:tcPr>
                  <w:tcW w:type="dxa" w:w="297"/>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4"/>
                    </w:rPr>
                    <w:t>T</w:t>
                  </w:r>
                </w:p>
              </w:tc>
              <w:tc>
                <w:tcPr>
                  <w:tcW w:type="dxa" w:w="891"/>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4"/>
                    </w:rPr>
                    <w:t>系统使用时间段</w:t>
                  </w:r>
                </w:p>
              </w:tc>
              <w:tc>
                <w:tcPr>
                  <w:tcW w:type="dxa" w:w="770"/>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4"/>
                    </w:rPr>
                    <w:t>工作时长</w:t>
                  </w:r>
                </w:p>
              </w:tc>
              <w:tc>
                <w:tcPr>
                  <w:tcW w:type="dxa" w:w="297"/>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4"/>
                    </w:rPr>
                    <w:t>8</w:t>
                  </w:r>
                </w:p>
              </w:tc>
              <w:tc>
                <w:tcPr>
                  <w:tcW w:type="dxa" w:w="297"/>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pPr>
                  <w:r>
                    <w:rPr>
                      <w:rFonts w:ascii="仿宋_GB2312" w:hAnsi="仿宋_GB2312" w:cs="仿宋_GB2312" w:eastAsia="仿宋_GB2312"/>
                      <w:sz w:val="24"/>
                    </w:rPr>
                    <w:t>小时</w:t>
                  </w:r>
                </w:p>
              </w:tc>
            </w:tr>
          </w:tbl>
          <w:p>
            <w:pPr>
              <w:pStyle w:val="null3"/>
              <w:ind w:firstLine="480"/>
              <w:jc w:val="both"/>
            </w:pPr>
            <w:r>
              <w:rPr>
                <w:rFonts w:ascii="仿宋_GB2312" w:hAnsi="仿宋_GB2312" w:cs="仿宋_GB2312" w:eastAsia="仿宋_GB2312"/>
                <w:sz w:val="24"/>
              </w:rPr>
              <w:t>平均业务并发用户数C，C=nL/T，即为2000×1.5/8=375点。</w:t>
            </w:r>
          </w:p>
          <w:p>
            <w:pPr>
              <w:pStyle w:val="null3"/>
              <w:ind w:firstLine="480"/>
              <w:jc w:val="both"/>
            </w:pPr>
            <w:r>
              <w:rPr>
                <w:rFonts w:ascii="仿宋_GB2312" w:hAnsi="仿宋_GB2312" w:cs="仿宋_GB2312" w:eastAsia="仿宋_GB2312"/>
                <w:sz w:val="24"/>
              </w:rPr>
              <w:t>业务并发用户数的峰值C^=C+3×(C的平方根)，即为：375+3×(375的平方根)≈375+3×19.4≈433点。</w:t>
            </w:r>
          </w:p>
          <w:p>
            <w:pPr>
              <w:pStyle w:val="null3"/>
              <w:ind w:firstLine="480"/>
              <w:jc w:val="both"/>
            </w:pPr>
            <w:r>
              <w:rPr>
                <w:rFonts w:ascii="仿宋_GB2312" w:hAnsi="仿宋_GB2312" w:cs="仿宋_GB2312" w:eastAsia="仿宋_GB2312"/>
                <w:sz w:val="24"/>
              </w:rPr>
              <w:t>根据上述测算，重点项目“四个一批”管理系统的用户并发数需求如表4-9所示。</w:t>
            </w:r>
          </w:p>
          <w:p>
            <w:pPr>
              <w:pStyle w:val="null3"/>
              <w:jc w:val="center"/>
            </w:pPr>
            <w:r>
              <w:rPr>
                <w:rFonts w:ascii="仿宋_GB2312" w:hAnsi="仿宋_GB2312" w:cs="仿宋_GB2312" w:eastAsia="仿宋_GB2312"/>
                <w:sz w:val="24"/>
              </w:rPr>
              <w:t>表</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各业务系统用户并发需求</w:t>
            </w:r>
          </w:p>
          <w:tbl>
            <w:tblPr>
              <w:tblBorders>
                <w:top w:val="none" w:color="000000" w:sz="4"/>
                <w:left w:val="none" w:color="000000" w:sz="4"/>
                <w:bottom w:val="none" w:color="000000" w:sz="4"/>
                <w:right w:val="none" w:color="000000" w:sz="4"/>
                <w:insideH w:val="none"/>
                <w:insideV w:val="none"/>
              </w:tblBorders>
            </w:tblPr>
            <w:tblGrid>
              <w:gridCol w:w="326"/>
              <w:gridCol w:w="1376"/>
              <w:gridCol w:w="851"/>
            </w:tblGrid>
            <w:tr>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24"/>
                    </w:rPr>
                    <w:t>序号</w:t>
                  </w:r>
                </w:p>
              </w:tc>
              <w:tc>
                <w:tcPr>
                  <w:tcW w:type="dxa" w:w="1376"/>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24"/>
                    </w:rPr>
                    <w:t>业务系统名称</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24"/>
                    </w:rPr>
                    <w:t>峰值并发用户值</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重点项目“四个一批”管理系统</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433</w:t>
                  </w:r>
                </w:p>
              </w:tc>
            </w:tr>
          </w:tbl>
          <w:p>
            <w:pPr>
              <w:pStyle w:val="null3"/>
            </w:pP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基础设施需求:</w:t>
            </w:r>
          </w:p>
          <w:p>
            <w:pPr>
              <w:pStyle w:val="null3"/>
              <w:spacing w:before="120" w:after="120"/>
              <w:jc w:val="left"/>
              <w:outlineLvl w:val="2"/>
            </w:pPr>
            <w:r>
              <w:rPr>
                <w:rFonts w:ascii="仿宋_GB2312" w:hAnsi="仿宋_GB2312" w:cs="仿宋_GB2312" w:eastAsia="仿宋_GB2312"/>
                <w:sz w:val="28"/>
                <w:b/>
              </w:rPr>
              <w:t>1.服务器资源需求测算</w:t>
            </w:r>
          </w:p>
          <w:p>
            <w:pPr>
              <w:pStyle w:val="null3"/>
              <w:ind w:firstLine="480"/>
              <w:jc w:val="both"/>
            </w:pPr>
            <w:r>
              <w:rPr>
                <w:rFonts w:ascii="仿宋_GB2312" w:hAnsi="仿宋_GB2312" w:cs="仿宋_GB2312" w:eastAsia="仿宋_GB2312"/>
              </w:rPr>
              <w:t>以下为重点项目“四个一批”管理系统所需资源测算情况。</w:t>
            </w:r>
          </w:p>
          <w:p>
            <w:pPr>
              <w:pStyle w:val="null3"/>
              <w:ind w:firstLine="480"/>
              <w:jc w:val="both"/>
            </w:pPr>
            <w:r>
              <w:rPr>
                <w:rFonts w:ascii="仿宋_GB2312" w:hAnsi="仿宋_GB2312" w:cs="仿宋_GB2312" w:eastAsia="仿宋_GB2312"/>
              </w:rPr>
              <w:t>服务器资源分为应用服务器资源和数据库服务器资源。</w:t>
            </w:r>
          </w:p>
          <w:p>
            <w:pPr>
              <w:pStyle w:val="null3"/>
              <w:ind w:firstLine="480"/>
              <w:jc w:val="both"/>
            </w:pPr>
            <w:r>
              <w:rPr>
                <w:rFonts w:ascii="仿宋_GB2312" w:hAnsi="仿宋_GB2312" w:cs="仿宋_GB2312" w:eastAsia="仿宋_GB2312"/>
              </w:rPr>
              <w:t>服务器资源分析：</w:t>
            </w:r>
          </w:p>
          <w:p>
            <w:pPr>
              <w:pStyle w:val="null3"/>
              <w:spacing w:after="60"/>
              <w:jc w:val="center"/>
            </w:pPr>
            <w:r>
              <w:rPr>
                <w:rFonts w:ascii="仿宋_GB2312" w:hAnsi="仿宋_GB2312" w:cs="仿宋_GB2312" w:eastAsia="仿宋_GB2312"/>
              </w:rPr>
              <w:t>表4-10重点项目“四个一批”管理系统服务器资源适配表</w:t>
            </w:r>
          </w:p>
          <w:tbl>
            <w:tblPr>
              <w:tblInd w:type="dxa" w:w="120"/>
              <w:tblBorders>
                <w:top w:val="none" w:color="000000" w:sz="4"/>
                <w:left w:val="none" w:color="000000" w:sz="4"/>
                <w:bottom w:val="none" w:color="000000" w:sz="4"/>
                <w:right w:val="none" w:color="000000" w:sz="4"/>
                <w:insideH w:val="none"/>
                <w:insideV w:val="none"/>
              </w:tblBorders>
            </w:tblPr>
            <w:tblGrid>
              <w:gridCol w:w="1283"/>
              <w:gridCol w:w="259"/>
              <w:gridCol w:w="1012"/>
            </w:tblGrid>
            <w:tr>
              <w:tc>
                <w:tcPr>
                  <w:tcW w:type="dxa" w:w="2554"/>
                  <w:gridSpan w:val="3"/>
                  <w:tcBorders>
                    <w:top w:val="single" w:color="000000" w:sz="4"/>
                    <w:left w:val="single" w:color="000000" w:sz="4"/>
                    <w:bottom w:val="single" w:color="000000" w:sz="4"/>
                    <w:right w:val="single" w:color="000000" w:sz="4"/>
                  </w:tcBorders>
                  <w:shd w:fill="C0C0C0"/>
                  <w:tcMar>
                    <w:top w:type="dxa" w:w="0"/>
                    <w:left w:type="dxa" w:w="105"/>
                    <w:bottom w:type="dxa" w:w="0"/>
                    <w:right w:type="dxa" w:w="105"/>
                  </w:tcMar>
                  <w:vAlign w:val="top"/>
                </w:tcPr>
                <w:p>
                  <w:pPr>
                    <w:pStyle w:val="null3"/>
                  </w:pPr>
                  <w:r>
                    <w:rPr>
                      <w:rFonts w:ascii="仿宋_GB2312" w:hAnsi="仿宋_GB2312" w:cs="仿宋_GB2312" w:eastAsia="仿宋_GB2312"/>
                      <w:sz w:val="19"/>
                    </w:rPr>
                    <w:t>服务器CPU性能估算</w:t>
                  </w:r>
                </w:p>
              </w:tc>
            </w:tr>
            <w:tr>
              <w:tc>
                <w:tcPr>
                  <w:tcW w:type="dxa" w:w="1283"/>
                  <w:tcBorders>
                    <w:top w:val="non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pPr>
                  <w:r>
                    <w:rPr>
                      <w:rFonts w:ascii="仿宋_GB2312" w:hAnsi="仿宋_GB2312" w:cs="仿宋_GB2312" w:eastAsia="仿宋_GB2312"/>
                      <w:sz w:val="19"/>
                    </w:rPr>
                    <w:t>项目</w:t>
                  </w:r>
                </w:p>
              </w:tc>
              <w:tc>
                <w:tcPr>
                  <w:tcW w:type="dxa" w:w="259"/>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pPr>
                  <w:r>
                    <w:rPr>
                      <w:rFonts w:ascii="仿宋_GB2312" w:hAnsi="仿宋_GB2312" w:cs="仿宋_GB2312" w:eastAsia="仿宋_GB2312"/>
                      <w:sz w:val="19"/>
                    </w:rPr>
                    <w:t>数值</w:t>
                  </w:r>
                </w:p>
              </w:tc>
              <w:tc>
                <w:tcPr>
                  <w:tcW w:type="dxa" w:w="1012"/>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pPr>
                  <w:r>
                    <w:rPr>
                      <w:rFonts w:ascii="仿宋_GB2312" w:hAnsi="仿宋_GB2312" w:cs="仿宋_GB2312" w:eastAsia="仿宋_GB2312"/>
                      <w:sz w:val="19"/>
                    </w:rPr>
                    <w:t>备注</w:t>
                  </w:r>
                </w:p>
              </w:tc>
            </w:tr>
            <w:tr>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系统平均并发数（U1）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375</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计算平均的并发用户数： U1 = nL/T</w:t>
                  </w:r>
                </w:p>
                <w:p>
                  <w:pPr>
                    <w:pStyle w:val="null3"/>
                  </w:pPr>
                  <w:r>
                    <w:rPr>
                      <w:rFonts w:ascii="仿宋_GB2312" w:hAnsi="仿宋_GB2312" w:cs="仿宋_GB2312" w:eastAsia="仿宋_GB2312"/>
                      <w:sz w:val="19"/>
                    </w:rPr>
                    <w:t>U1[C = nL/T]=平均每天用户要访问该系统数（n）*一天之内用户从登录到退出的平均时间（小时）（L）/在一天的时间内用户使用该系统时间8小时（T）</w:t>
                  </w:r>
                </w:p>
              </w:tc>
            </w:tr>
            <w:tr>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平均每个用户每分钟发出的业务请求（N1）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根据每个用户每分钟平均发出20个业务请求</w:t>
                  </w:r>
                </w:p>
              </w:tc>
            </w:tr>
            <w:tr>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平均每次更新业务产生的事务（T1）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25</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平均每次查询业务产生的事务（T2）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40</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平均每次统计业务产生的事务（T3）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45</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考虑服务器保留M的冗余【系统本身消耗】</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30%</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考虑服务器系统本身消耗保留 30％的冗余</w:t>
                  </w:r>
                </w:p>
              </w:tc>
            </w:tr>
            <w:tr>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每CPU tpmC值单核TPC-C为：TPC</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27545</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参考https://www.modb.pro/db/47217测量值</w:t>
                  </w:r>
                </w:p>
              </w:tc>
            </w:tr>
            <w:tr>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系统要保持的高峰期利用率</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70%</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服务器的实际资源占用即“系统忙”不应大于 70%</w:t>
                  </w:r>
                </w:p>
              </w:tc>
            </w:tr>
            <w:tr>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主机性能需求tpmC</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1683673.47</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系统平均并发数（U1）×平均每个用户每分钟发出的业务请求（N1）×（平均每次更新业务产生的事务（T1）+平均每次查询业务产生的事务（T2）+平均每次统计业务产生的事务（T3））÷（1-考虑服务器保留M的冗余【系统本身消耗】））÷系统要保持的高峰期利用率</w:t>
                  </w:r>
                </w:p>
              </w:tc>
            </w:tr>
            <w:tr>
              <w:tc>
                <w:tcPr>
                  <w:tcW w:type="dxa" w:w="2554"/>
                  <w:gridSpan w:val="3"/>
                  <w:tcBorders>
                    <w:top w:val="non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pPr>
                  <w:r>
                    <w:rPr>
                      <w:rFonts w:ascii="仿宋_GB2312" w:hAnsi="仿宋_GB2312" w:cs="仿宋_GB2312" w:eastAsia="仿宋_GB2312"/>
                      <w:sz w:val="19"/>
                    </w:rPr>
                    <w:t>应用计算服务器性能估算</w:t>
                  </w:r>
                </w:p>
              </w:tc>
            </w:tr>
            <w:tr>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换算CPU可得：(最小配置单元（2C/4G）)，vCPU核数</w:t>
                  </w:r>
                </w:p>
              </w:tc>
              <w:tc>
                <w:tcPr>
                  <w:tcW w:type="dxa" w:w="259"/>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pPr>
                  <w:r>
                    <w:rPr>
                      <w:rFonts w:ascii="仿宋_GB2312" w:hAnsi="仿宋_GB2312" w:cs="仿宋_GB2312" w:eastAsia="仿宋_GB2312"/>
                      <w:sz w:val="19"/>
                    </w:rPr>
                    <w:t>61</w:t>
                  </w:r>
                </w:p>
              </w:tc>
              <w:tc>
                <w:tcPr>
                  <w:tcW w:type="dxa" w:w="10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Vcpu=tpmc/TPC</w:t>
                  </w:r>
                </w:p>
              </w:tc>
            </w:tr>
            <w:tr>
              <w:tc>
                <w:tcPr>
                  <w:tcW w:type="dxa" w:w="2554"/>
                  <w:gridSpan w:val="3"/>
                  <w:tcBorders>
                    <w:top w:val="non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pPr>
                  <w:r>
                    <w:rPr>
                      <w:rFonts w:ascii="仿宋_GB2312" w:hAnsi="仿宋_GB2312" w:cs="仿宋_GB2312" w:eastAsia="仿宋_GB2312"/>
                      <w:sz w:val="19"/>
                    </w:rPr>
                    <w:t>数据库服务器性能估算</w:t>
                  </w:r>
                </w:p>
              </w:tc>
            </w:tr>
            <w:tr>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换算CPU可得：(最小配置单元（2C/4G）)，vCPU核数</w:t>
                  </w:r>
                </w:p>
              </w:tc>
              <w:tc>
                <w:tcPr>
                  <w:tcW w:type="dxa" w:w="259"/>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pPr>
                  <w:r>
                    <w:rPr>
                      <w:rFonts w:ascii="仿宋_GB2312" w:hAnsi="仿宋_GB2312" w:cs="仿宋_GB2312" w:eastAsia="仿宋_GB2312"/>
                      <w:sz w:val="19"/>
                    </w:rPr>
                    <w:t>30</w:t>
                  </w:r>
                </w:p>
              </w:tc>
              <w:tc>
                <w:tcPr>
                  <w:tcW w:type="dxa" w:w="10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数据库相对简单，比应用服务器低配40%～50%</w:t>
                  </w:r>
                </w:p>
              </w:tc>
            </w:tr>
          </w:tbl>
          <w:p>
            <w:pPr>
              <w:pStyle w:val="null3"/>
              <w:ind w:firstLine="480"/>
              <w:jc w:val="both"/>
            </w:pPr>
            <w:r>
              <w:rPr>
                <w:rFonts w:ascii="仿宋_GB2312" w:hAnsi="仿宋_GB2312" w:cs="仿宋_GB2312" w:eastAsia="仿宋_GB2312"/>
              </w:rPr>
              <w:t>参考结果数据，需要虚拟机32核6台设备应能够满足需求。</w:t>
            </w:r>
          </w:p>
          <w:p>
            <w:pPr>
              <w:pStyle w:val="null3"/>
              <w:jc w:val="center"/>
            </w:pPr>
            <w:r>
              <w:rPr>
                <w:rFonts w:ascii="仿宋_GB2312" w:hAnsi="仿宋_GB2312" w:cs="仿宋_GB2312" w:eastAsia="仿宋_GB2312"/>
              </w:rPr>
              <w:t>表4-11服务器资源适配表</w:t>
            </w:r>
          </w:p>
          <w:tbl>
            <w:tblPr>
              <w:tblInd w:type="dxa" w:w="210"/>
              <w:tblBorders>
                <w:top w:val="none" w:color="000000" w:sz="4"/>
                <w:left w:val="none" w:color="000000" w:sz="4"/>
                <w:bottom w:val="none" w:color="000000" w:sz="4"/>
                <w:right w:val="none" w:color="000000" w:sz="4"/>
                <w:insideH w:val="none"/>
                <w:insideV w:val="none"/>
              </w:tblBorders>
            </w:tblPr>
            <w:tblGrid>
              <w:gridCol w:w="218"/>
              <w:gridCol w:w="559"/>
              <w:gridCol w:w="559"/>
              <w:gridCol w:w="559"/>
            </w:tblGrid>
            <w:tr>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5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系统名称</w:t>
                  </w:r>
                </w:p>
              </w:tc>
              <w:tc>
                <w:tcPr>
                  <w:tcW w:type="dxa" w:w="5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适配项</w:t>
                  </w:r>
                </w:p>
              </w:tc>
              <w:tc>
                <w:tcPr>
                  <w:tcW w:type="dxa" w:w="5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产品</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55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重点项目“四个一批”管理系统</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操作系统</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国产操作系统</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559"/>
                  <w:vMerge/>
                  <w:tcBorders>
                    <w:top w:val="none" w:color="000000" w:sz="4"/>
                    <w:left w:val="none" w:color="000000" w:sz="4"/>
                    <w:bottom w:val="none" w:color="000000" w:sz="4"/>
                    <w:right w:val="single" w:color="000000" w:sz="4"/>
                  </w:tcBorders>
                </w:tc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数据库</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国产数据库</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559"/>
                  <w:vMerge/>
                  <w:tcBorders>
                    <w:top w:val="none" w:color="000000" w:sz="4"/>
                    <w:left w:val="none" w:color="000000" w:sz="4"/>
                    <w:bottom w:val="none" w:color="000000" w:sz="4"/>
                    <w:right w:val="single" w:color="000000" w:sz="4"/>
                  </w:tcBorders>
                </w:tc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中间件</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国产中间件</w:t>
                  </w:r>
                </w:p>
              </w:tc>
            </w:tr>
          </w:tbl>
          <w:p>
            <w:pPr>
              <w:pStyle w:val="null3"/>
              <w:spacing w:before="120" w:after="120"/>
              <w:jc w:val="left"/>
              <w:outlineLvl w:val="2"/>
            </w:pPr>
            <w:r>
              <w:rPr>
                <w:rFonts w:ascii="仿宋_GB2312" w:hAnsi="仿宋_GB2312" w:cs="仿宋_GB2312" w:eastAsia="仿宋_GB2312"/>
                <w:sz w:val="28"/>
                <w:b/>
              </w:rPr>
              <w:t>2.存储资源需求测算</w:t>
            </w:r>
          </w:p>
          <w:p>
            <w:pPr>
              <w:pStyle w:val="null3"/>
              <w:ind w:firstLine="480"/>
              <w:jc w:val="both"/>
            </w:pPr>
            <w:r>
              <w:rPr>
                <w:rFonts w:ascii="仿宋_GB2312" w:hAnsi="仿宋_GB2312" w:cs="仿宋_GB2312" w:eastAsia="仿宋_GB2312"/>
              </w:rPr>
              <w:t>本次建设项目，未来三年总体数据资源需求预估约为5.496T，分别为结构化数据约0.012T，非结构化数据约5.484T。实际的存储资源需求量，将根据实际情况做适当调整。</w:t>
            </w:r>
          </w:p>
          <w:p>
            <w:pPr>
              <w:pStyle w:val="null3"/>
              <w:ind w:firstLine="480"/>
              <w:jc w:val="both"/>
            </w:pPr>
            <w:r>
              <w:rPr>
                <w:rFonts w:ascii="仿宋_GB2312" w:hAnsi="仿宋_GB2312" w:cs="仿宋_GB2312" w:eastAsia="仿宋_GB2312"/>
              </w:rPr>
              <w:t>结构化数据测算如表4-12所示。</w:t>
            </w:r>
          </w:p>
          <w:p>
            <w:pPr>
              <w:pStyle w:val="null3"/>
              <w:jc w:val="center"/>
            </w:pPr>
            <w:r>
              <w:rPr>
                <w:rFonts w:ascii="仿宋_GB2312" w:hAnsi="仿宋_GB2312" w:cs="仿宋_GB2312" w:eastAsia="仿宋_GB2312"/>
              </w:rPr>
              <w:t>表4-12结构化数据测算表</w:t>
            </w:r>
          </w:p>
          <w:tbl>
            <w:tblPr>
              <w:tblInd w:type="dxa" w:w="225"/>
              <w:tblBorders>
                <w:top w:val="none" w:color="000000" w:sz="4"/>
                <w:left w:val="none" w:color="000000" w:sz="4"/>
                <w:bottom w:val="none" w:color="000000" w:sz="4"/>
                <w:right w:val="none" w:color="000000" w:sz="4"/>
                <w:insideH w:val="none"/>
                <w:insideV w:val="none"/>
              </w:tblBorders>
            </w:tblPr>
            <w:tblGrid>
              <w:gridCol w:w="133"/>
              <w:gridCol w:w="497"/>
              <w:gridCol w:w="321"/>
              <w:gridCol w:w="327"/>
              <w:gridCol w:w="334"/>
              <w:gridCol w:w="212"/>
              <w:gridCol w:w="358"/>
              <w:gridCol w:w="370"/>
            </w:tblGrid>
            <w:tr>
              <w:tc>
                <w:tcPr>
                  <w:tcW w:type="dxa" w:w="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序号</w:t>
                  </w:r>
                </w:p>
              </w:tc>
              <w:tc>
                <w:tcPr>
                  <w:tcW w:type="dxa" w:w="4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系统名称</w:t>
                  </w:r>
                </w:p>
              </w:tc>
              <w:tc>
                <w:tcPr>
                  <w:tcW w:type="dxa" w:w="3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数据来源</w:t>
                  </w:r>
                </w:p>
              </w:tc>
              <w:tc>
                <w:tcPr>
                  <w:tcW w:type="dxa" w:w="3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数据类型</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月数据量</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单位</w:t>
                  </w:r>
                </w:p>
              </w:tc>
              <w:tc>
                <w:tcPr>
                  <w:tcW w:type="dxa" w:w="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大小</w:t>
                  </w:r>
                </w:p>
                <w:p>
                  <w:pPr>
                    <w:pStyle w:val="null3"/>
                    <w:jc w:val="center"/>
                  </w:pPr>
                  <w:r>
                    <w:rPr>
                      <w:rFonts w:ascii="仿宋_GB2312" w:hAnsi="仿宋_GB2312" w:cs="仿宋_GB2312" w:eastAsia="仿宋_GB2312"/>
                      <w:sz w:val="19"/>
                      <w:b/>
                    </w:rPr>
                    <w:t>（MB/条）</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3年总量（TB）</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重点项目“四个一批”管理系统</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业务办理数据</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结构化数据</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30000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条</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0.01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0.01</w:t>
                  </w:r>
                </w:p>
              </w:tc>
            </w:tr>
            <w:tr>
              <w:tc>
                <w:tcPr>
                  <w:tcW w:type="dxa" w:w="2182"/>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小计</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0.01</w:t>
                  </w:r>
                </w:p>
              </w:tc>
            </w:tr>
          </w:tbl>
          <w:p>
            <w:pPr>
              <w:pStyle w:val="null3"/>
              <w:ind w:firstLine="480"/>
              <w:jc w:val="both"/>
            </w:pPr>
            <w:r>
              <w:rPr>
                <w:rFonts w:ascii="仿宋_GB2312" w:hAnsi="仿宋_GB2312" w:cs="仿宋_GB2312" w:eastAsia="仿宋_GB2312"/>
              </w:rPr>
              <w:t>该系统共有约0.01T结构化数据存储需求，按照20%冗余计算，结构化存储需求约为0.012T。</w:t>
            </w:r>
          </w:p>
          <w:p>
            <w:pPr>
              <w:pStyle w:val="null3"/>
              <w:ind w:firstLine="480"/>
              <w:jc w:val="both"/>
            </w:pPr>
            <w:r>
              <w:rPr>
                <w:rFonts w:ascii="仿宋_GB2312" w:hAnsi="仿宋_GB2312" w:cs="仿宋_GB2312" w:eastAsia="仿宋_GB2312"/>
              </w:rPr>
              <w:t>非结构化数据测算如表4-13所示。</w:t>
            </w:r>
          </w:p>
          <w:p>
            <w:pPr>
              <w:pStyle w:val="null3"/>
              <w:jc w:val="center"/>
            </w:pPr>
            <w:r>
              <w:rPr>
                <w:rFonts w:ascii="仿宋_GB2312" w:hAnsi="仿宋_GB2312" w:cs="仿宋_GB2312" w:eastAsia="仿宋_GB2312"/>
              </w:rPr>
              <w:t>表4-13非结构化数据测算</w:t>
            </w:r>
          </w:p>
          <w:tbl>
            <w:tblPr>
              <w:tblInd w:type="dxa" w:w="225"/>
              <w:tblBorders>
                <w:top w:val="none" w:color="000000" w:sz="4"/>
                <w:left w:val="none" w:color="000000" w:sz="4"/>
                <w:bottom w:val="none" w:color="000000" w:sz="4"/>
                <w:right w:val="none" w:color="000000" w:sz="4"/>
                <w:insideH w:val="none"/>
                <w:insideV w:val="none"/>
              </w:tblBorders>
            </w:tblPr>
            <w:tblGrid>
              <w:gridCol w:w="145"/>
              <w:gridCol w:w="537"/>
              <w:gridCol w:w="253"/>
              <w:gridCol w:w="326"/>
              <w:gridCol w:w="338"/>
              <w:gridCol w:w="229"/>
              <w:gridCol w:w="392"/>
              <w:gridCol w:w="332"/>
            </w:tblGrid>
            <w:tr>
              <w:tc>
                <w:tcPr>
                  <w:tcW w:type="dxa" w:w="145"/>
                  <w:tcBorders>
                    <w:top w:val="singl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537"/>
                  <w:tcBorders>
                    <w:top w:val="singl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19"/>
                    </w:rPr>
                    <w:t>系统名称</w:t>
                  </w:r>
                </w:p>
              </w:tc>
              <w:tc>
                <w:tcPr>
                  <w:tcW w:type="dxa" w:w="253"/>
                  <w:tcBorders>
                    <w:top w:val="singl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19"/>
                    </w:rPr>
                    <w:t>数据来源</w:t>
                  </w:r>
                </w:p>
              </w:tc>
              <w:tc>
                <w:tcPr>
                  <w:tcW w:type="dxa" w:w="326"/>
                  <w:tcBorders>
                    <w:top w:val="singl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19"/>
                    </w:rPr>
                    <w:t>数据类型</w:t>
                  </w:r>
                </w:p>
              </w:tc>
              <w:tc>
                <w:tcPr>
                  <w:tcW w:type="dxa" w:w="338"/>
                  <w:tcBorders>
                    <w:top w:val="singl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19"/>
                    </w:rPr>
                    <w:t>月数据量</w:t>
                  </w:r>
                </w:p>
              </w:tc>
              <w:tc>
                <w:tcPr>
                  <w:tcW w:type="dxa" w:w="229"/>
                  <w:tcBorders>
                    <w:top w:val="singl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19"/>
                    </w:rPr>
                    <w:t>单位</w:t>
                  </w:r>
                </w:p>
              </w:tc>
              <w:tc>
                <w:tcPr>
                  <w:tcW w:type="dxa" w:w="392"/>
                  <w:tcBorders>
                    <w:top w:val="singl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19"/>
                    </w:rPr>
                    <w:t>大小</w:t>
                  </w:r>
                </w:p>
                <w:p>
                  <w:pPr>
                    <w:pStyle w:val="null3"/>
                    <w:jc w:val="center"/>
                  </w:pPr>
                  <w:r>
                    <w:rPr>
                      <w:rFonts w:ascii="仿宋_GB2312" w:hAnsi="仿宋_GB2312" w:cs="仿宋_GB2312" w:eastAsia="仿宋_GB2312"/>
                      <w:sz w:val="19"/>
                    </w:rPr>
                    <w:t>（MB/张）</w:t>
                  </w:r>
                </w:p>
              </w:tc>
              <w:tc>
                <w:tcPr>
                  <w:tcW w:type="dxa" w:w="332"/>
                  <w:tcBorders>
                    <w:top w:val="singl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jc w:val="center"/>
                  </w:pPr>
                  <w:r>
                    <w:rPr>
                      <w:rFonts w:ascii="仿宋_GB2312" w:hAnsi="仿宋_GB2312" w:cs="仿宋_GB2312" w:eastAsia="仿宋_GB2312"/>
                      <w:sz w:val="19"/>
                    </w:rPr>
                    <w:t>3年总量（TB）</w:t>
                  </w:r>
                </w:p>
              </w:tc>
            </w:tr>
            <w:tr>
              <w:tc>
                <w:tcPr>
                  <w:tcW w:type="dxa" w:w="145"/>
                  <w:vMerge w:val="restart"/>
                  <w:tcBorders>
                    <w:top w:val="none" w:color="000000" w:sz="4"/>
                    <w:left w:val="single" w:color="000000" w:sz="4"/>
                    <w:bottom w:val="none" w:color="000000" w:sz="4"/>
                    <w:right w:val="single" w:color="000000" w:sz="4"/>
                  </w:tcBorders>
                  <w:tcMar>
                    <w:top w:type="dxa" w:w="15"/>
                    <w:left w:type="dxa" w:w="105"/>
                    <w:bottom w:type="dxa" w:w="0"/>
                    <w:right w:type="dxa" w:w="105"/>
                  </w:tcMar>
                  <w:vAlign w:val="top"/>
                </w:tcPr>
                <w:p>
                  <w:pPr>
                    <w:pStyle w:val="null3"/>
                  </w:pPr>
                  <w:r>
                    <w:rPr>
                      <w:rFonts w:ascii="仿宋_GB2312" w:hAnsi="仿宋_GB2312" w:cs="仿宋_GB2312" w:eastAsia="仿宋_GB2312"/>
                      <w:sz w:val="19"/>
                    </w:rPr>
                    <w:t>1</w:t>
                  </w:r>
                </w:p>
              </w:tc>
              <w:tc>
                <w:tcPr>
                  <w:tcW w:type="dxa" w:w="537"/>
                  <w:vMerge w:val="restart"/>
                  <w:tcBorders>
                    <w:top w:val="none" w:color="000000" w:sz="4"/>
                    <w:left w:val="none" w:color="000000" w:sz="4"/>
                    <w:bottom w:val="none" w:color="000000" w:sz="4"/>
                    <w:right w:val="single" w:color="000000" w:sz="4"/>
                  </w:tcBorders>
                  <w:tcMar>
                    <w:top w:type="dxa" w:w="15"/>
                    <w:left w:type="dxa" w:w="105"/>
                    <w:bottom w:type="dxa" w:w="0"/>
                    <w:right w:type="dxa" w:w="105"/>
                  </w:tcMar>
                  <w:vAlign w:val="top"/>
                </w:tcPr>
                <w:p>
                  <w:pPr>
                    <w:pStyle w:val="null3"/>
                  </w:pPr>
                  <w:r>
                    <w:rPr>
                      <w:rFonts w:ascii="仿宋_GB2312" w:hAnsi="仿宋_GB2312" w:cs="仿宋_GB2312" w:eastAsia="仿宋_GB2312"/>
                      <w:sz w:val="19"/>
                      <w:color w:val="000000"/>
                    </w:rPr>
                    <w:t>重点项目“四个一批”管理系统</w:t>
                  </w:r>
                </w:p>
              </w:tc>
              <w:tc>
                <w:tcPr>
                  <w:tcW w:type="dxa" w:w="253"/>
                  <w:vMerge w:val="restart"/>
                  <w:tcBorders>
                    <w:top w:val="none" w:color="000000" w:sz="4"/>
                    <w:left w:val="none" w:color="000000" w:sz="4"/>
                    <w:bottom w:val="none" w:color="000000" w:sz="4"/>
                    <w:right w:val="single" w:color="000000" w:sz="4"/>
                  </w:tcBorders>
                  <w:tcMar>
                    <w:top w:type="dxa" w:w="15"/>
                    <w:left w:type="dxa" w:w="105"/>
                    <w:bottom w:type="dxa" w:w="0"/>
                    <w:right w:type="dxa" w:w="105"/>
                  </w:tcMar>
                  <w:vAlign w:val="top"/>
                </w:tcPr>
                <w:p>
                  <w:pPr>
                    <w:pStyle w:val="null3"/>
                  </w:pPr>
                  <w:r>
                    <w:rPr>
                      <w:rFonts w:ascii="仿宋_GB2312" w:hAnsi="仿宋_GB2312" w:cs="仿宋_GB2312" w:eastAsia="仿宋_GB2312"/>
                      <w:sz w:val="19"/>
                    </w:rPr>
                    <w:t>附件信息</w:t>
                  </w:r>
                </w:p>
              </w:tc>
              <w:tc>
                <w:tcPr>
                  <w:tcW w:type="dxa" w:w="326"/>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pPr>
                  <w:r>
                    <w:rPr>
                      <w:rFonts w:ascii="仿宋_GB2312" w:hAnsi="仿宋_GB2312" w:cs="仿宋_GB2312" w:eastAsia="仿宋_GB2312"/>
                      <w:sz w:val="19"/>
                    </w:rPr>
                    <w:t>文件、图片等</w:t>
                  </w:r>
                </w:p>
              </w:tc>
              <w:tc>
                <w:tcPr>
                  <w:tcW w:type="dxa" w:w="338"/>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pPr>
                  <w:r>
                    <w:rPr>
                      <w:rFonts w:ascii="仿宋_GB2312" w:hAnsi="仿宋_GB2312" w:cs="仿宋_GB2312" w:eastAsia="仿宋_GB2312"/>
                      <w:sz w:val="19"/>
                    </w:rPr>
                    <w:t>4000</w:t>
                  </w:r>
                </w:p>
              </w:tc>
              <w:tc>
                <w:tcPr>
                  <w:tcW w:type="dxa" w:w="229"/>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pPr>
                  <w:r>
                    <w:rPr>
                      <w:rFonts w:ascii="仿宋_GB2312" w:hAnsi="仿宋_GB2312" w:cs="仿宋_GB2312" w:eastAsia="仿宋_GB2312"/>
                      <w:sz w:val="19"/>
                    </w:rPr>
                    <w:t>张</w:t>
                  </w:r>
                </w:p>
              </w:tc>
              <w:tc>
                <w:tcPr>
                  <w:tcW w:type="dxa" w:w="392"/>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pPr>
                  <w:r>
                    <w:rPr>
                      <w:rFonts w:ascii="仿宋_GB2312" w:hAnsi="仿宋_GB2312" w:cs="仿宋_GB2312" w:eastAsia="仿宋_GB2312"/>
                      <w:sz w:val="19"/>
                    </w:rPr>
                    <w:t>3</w:t>
                  </w:r>
                </w:p>
              </w:tc>
              <w:tc>
                <w:tcPr>
                  <w:tcW w:type="dxa" w:w="332"/>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pPr>
                  <w:r>
                    <w:rPr>
                      <w:rFonts w:ascii="仿宋_GB2312" w:hAnsi="仿宋_GB2312" w:cs="仿宋_GB2312" w:eastAsia="仿宋_GB2312"/>
                      <w:sz w:val="19"/>
                    </w:rPr>
                    <w:t>0.412</w:t>
                  </w:r>
                </w:p>
              </w:tc>
            </w:tr>
            <w:tr>
              <w:tc>
                <w:tcPr>
                  <w:tcW w:type="dxa" w:w="145"/>
                  <w:vMerge/>
                  <w:tcBorders>
                    <w:top w:val="none" w:color="000000" w:sz="4"/>
                    <w:left w:val="single" w:color="000000" w:sz="4"/>
                    <w:bottom w:val="none" w:color="000000" w:sz="4"/>
                    <w:right w:val="single" w:color="000000" w:sz="4"/>
                  </w:tcBorders>
                </w:tcPr>
                <w:p/>
              </w:tc>
              <w:tc>
                <w:tcPr>
                  <w:tcW w:type="dxa" w:w="537"/>
                  <w:vMerge/>
                  <w:tcBorders>
                    <w:top w:val="none" w:color="000000" w:sz="4"/>
                    <w:left w:val="none" w:color="000000" w:sz="4"/>
                    <w:bottom w:val="none" w:color="000000" w:sz="4"/>
                    <w:right w:val="single" w:color="000000" w:sz="4"/>
                  </w:tcBorders>
                </w:tcPr>
                <w:p/>
              </w:tc>
              <w:tc>
                <w:tcPr>
                  <w:tcW w:type="dxa" w:w="253"/>
                  <w:vMerge/>
                  <w:tcBorders>
                    <w:top w:val="none" w:color="000000" w:sz="4"/>
                    <w:left w:val="none" w:color="000000" w:sz="4"/>
                    <w:bottom w:val="none" w:color="000000" w:sz="4"/>
                    <w:right w:val="single" w:color="000000" w:sz="4"/>
                  </w:tcBorders>
                </w:tcPr>
                <w:p/>
              </w:tc>
              <w:tc>
                <w:tcPr>
                  <w:tcW w:type="dxa" w:w="326"/>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pPr>
                  <w:r>
                    <w:rPr>
                      <w:rFonts w:ascii="仿宋_GB2312" w:hAnsi="仿宋_GB2312" w:cs="仿宋_GB2312" w:eastAsia="仿宋_GB2312"/>
                      <w:sz w:val="19"/>
                    </w:rPr>
                    <w:t>视频</w:t>
                  </w:r>
                </w:p>
              </w:tc>
              <w:tc>
                <w:tcPr>
                  <w:tcW w:type="dxa" w:w="338"/>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pPr>
                  <w:r>
                    <w:rPr>
                      <w:rFonts w:ascii="仿宋_GB2312" w:hAnsi="仿宋_GB2312" w:cs="仿宋_GB2312" w:eastAsia="仿宋_GB2312"/>
                      <w:sz w:val="19"/>
                    </w:rPr>
                    <w:t>1200</w:t>
                  </w:r>
                </w:p>
              </w:tc>
              <w:tc>
                <w:tcPr>
                  <w:tcW w:type="dxa" w:w="229"/>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pPr>
                  <w:r>
                    <w:rPr>
                      <w:rFonts w:ascii="仿宋_GB2312" w:hAnsi="仿宋_GB2312" w:cs="仿宋_GB2312" w:eastAsia="仿宋_GB2312"/>
                      <w:sz w:val="19"/>
                    </w:rPr>
                    <w:t>个</w:t>
                  </w:r>
                </w:p>
              </w:tc>
              <w:tc>
                <w:tcPr>
                  <w:tcW w:type="dxa" w:w="392"/>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pPr>
                  <w:r>
                    <w:rPr>
                      <w:rFonts w:ascii="仿宋_GB2312" w:hAnsi="仿宋_GB2312" w:cs="仿宋_GB2312" w:eastAsia="仿宋_GB2312"/>
                      <w:sz w:val="19"/>
                    </w:rPr>
                    <w:t>100</w:t>
                  </w:r>
                </w:p>
              </w:tc>
              <w:tc>
                <w:tcPr>
                  <w:tcW w:type="dxa" w:w="332"/>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pPr>
                  <w:r>
                    <w:rPr>
                      <w:rFonts w:ascii="仿宋_GB2312" w:hAnsi="仿宋_GB2312" w:cs="仿宋_GB2312" w:eastAsia="仿宋_GB2312"/>
                      <w:sz w:val="19"/>
                    </w:rPr>
                    <w:t>4.12</w:t>
                  </w:r>
                </w:p>
              </w:tc>
            </w:tr>
            <w:tr>
              <w:tc>
                <w:tcPr>
                  <w:tcW w:type="dxa" w:w="2220"/>
                  <w:gridSpan w:val="7"/>
                  <w:tcBorders>
                    <w:top w:val="none" w:color="000000" w:sz="4"/>
                    <w:left w:val="single" w:color="000000" w:sz="4"/>
                    <w:bottom w:val="single" w:color="000000" w:sz="4"/>
                    <w:right w:val="single" w:color="000000" w:sz="4"/>
                  </w:tcBorders>
                  <w:tcMar>
                    <w:top w:type="dxa" w:w="15"/>
                    <w:left w:type="dxa" w:w="105"/>
                    <w:bottom w:type="dxa" w:w="0"/>
                    <w:right w:type="dxa" w:w="105"/>
                  </w:tcMar>
                  <w:vAlign w:val="top"/>
                </w:tcPr>
                <w:p>
                  <w:pPr>
                    <w:pStyle w:val="null3"/>
                  </w:pPr>
                  <w:r>
                    <w:rPr>
                      <w:rFonts w:ascii="仿宋_GB2312" w:hAnsi="仿宋_GB2312" w:cs="仿宋_GB2312" w:eastAsia="仿宋_GB2312"/>
                      <w:sz w:val="19"/>
                    </w:rPr>
                    <w:t>小计</w:t>
                  </w:r>
                </w:p>
              </w:tc>
              <w:tc>
                <w:tcPr>
                  <w:tcW w:type="dxa" w:w="332"/>
                  <w:tcBorders>
                    <w:top w:val="none" w:color="000000" w:sz="4"/>
                    <w:left w:val="none" w:color="000000" w:sz="4"/>
                    <w:bottom w:val="single" w:color="000000" w:sz="4"/>
                    <w:right w:val="single" w:color="000000" w:sz="4"/>
                  </w:tcBorders>
                  <w:tcMar>
                    <w:top w:type="dxa" w:w="15"/>
                    <w:left w:type="dxa" w:w="105"/>
                    <w:bottom w:type="dxa" w:w="0"/>
                    <w:right w:type="dxa" w:w="105"/>
                  </w:tcMar>
                  <w:vAlign w:val="top"/>
                </w:tcPr>
                <w:p>
                  <w:pPr>
                    <w:pStyle w:val="null3"/>
                  </w:pPr>
                  <w:r>
                    <w:rPr>
                      <w:rFonts w:ascii="仿宋_GB2312" w:hAnsi="仿宋_GB2312" w:cs="仿宋_GB2312" w:eastAsia="仿宋_GB2312"/>
                      <w:sz w:val="19"/>
                    </w:rPr>
                    <w:t>4.532</w:t>
                  </w:r>
                </w:p>
              </w:tc>
            </w:tr>
          </w:tbl>
          <w:p>
            <w:pPr>
              <w:pStyle w:val="null3"/>
              <w:ind w:firstLine="480"/>
              <w:jc w:val="both"/>
            </w:pPr>
            <w:r>
              <w:rPr>
                <w:rFonts w:ascii="仿宋_GB2312" w:hAnsi="仿宋_GB2312" w:cs="仿宋_GB2312" w:eastAsia="仿宋_GB2312"/>
              </w:rPr>
              <w:t>该系统共有约4.532T的非结构化数据存储需求，按照20%冗余计算，非结构化数据存储需求约为5.484T。</w:t>
            </w:r>
          </w:p>
          <w:p>
            <w:pPr>
              <w:pStyle w:val="null3"/>
              <w:jc w:val="both"/>
            </w:pPr>
            <w:r>
              <w:rPr>
                <w:rFonts w:ascii="仿宋_GB2312" w:hAnsi="仿宋_GB2312" w:cs="仿宋_GB2312" w:eastAsia="仿宋_GB2312"/>
              </w:rPr>
              <w:t>3.网络带宽需求测算</w:t>
            </w:r>
          </w:p>
          <w:p>
            <w:pPr>
              <w:pStyle w:val="null3"/>
              <w:jc w:val="both"/>
            </w:pPr>
            <w:r>
              <w:rPr>
                <w:rFonts w:ascii="仿宋_GB2312" w:hAnsi="仿宋_GB2312" w:cs="仿宋_GB2312" w:eastAsia="仿宋_GB2312"/>
              </w:rPr>
              <w:t>业务应用系统带宽测算：根据4.7小节的测算内容，业务应用系统的并发峰值为433.2，假设每个页面的大小平均为500k，为提高用户体验，交互类和查询类业务页面响应时间最好小于等于3秒，则每个网页的传输速度必须大于等于167k/s，并发峰值时刻同时共有433.2个用户访问，针对业务应用系统总的下载速度必须大于等于167*433.2/1024≈70M/s。</w:t>
            </w:r>
          </w:p>
          <w:p>
            <w:pPr>
              <w:pStyle w:val="null3"/>
            </w:pP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备份及灾备需求</w:t>
            </w:r>
          </w:p>
          <w:p>
            <w:pPr>
              <w:pStyle w:val="null3"/>
              <w:jc w:val="both"/>
            </w:pPr>
            <w:r>
              <w:rPr>
                <w:rFonts w:ascii="仿宋_GB2312" w:hAnsi="仿宋_GB2312" w:cs="仿宋_GB2312" w:eastAsia="仿宋_GB2312"/>
              </w:rPr>
              <w:t>本项目建设的各业务应用系统和支撑系统都将部署在西咸信创云平台，依托省政务云“两地三中心”的容灾备份架构实现系统备份。</w:t>
            </w:r>
          </w:p>
          <w:p>
            <w:pPr>
              <w:pStyle w:val="null3"/>
              <w:jc w:val="both"/>
            </w:pPr>
            <w:r>
              <w:rPr>
                <w:rFonts w:ascii="仿宋_GB2312" w:hAnsi="仿宋_GB2312" w:cs="仿宋_GB2312" w:eastAsia="仿宋_GB2312"/>
              </w:rPr>
              <w:t>根据重点项目“四个一批”管理系统的重要程度，等保级别，采用分层分级的数据保护技术。业务系统分为关键业务、重要业务、一般业务，不同的业务采用不同的灾备技术，备份需求如表4-14所示。</w:t>
            </w:r>
          </w:p>
          <w:p>
            <w:pPr>
              <w:pStyle w:val="null3"/>
              <w:jc w:val="both"/>
            </w:pPr>
            <w:r>
              <w:rPr>
                <w:rFonts w:ascii="仿宋_GB2312" w:hAnsi="仿宋_GB2312" w:cs="仿宋_GB2312" w:eastAsia="仿宋_GB2312"/>
              </w:rPr>
              <w:t>表4-14备份需求</w:t>
            </w:r>
          </w:p>
          <w:p>
            <w:pPr>
              <w:pStyle w:val="null3"/>
              <w:jc w:val="both"/>
            </w:pPr>
            <w:r>
              <w:rPr>
                <w:rFonts w:ascii="仿宋_GB2312" w:hAnsi="仿宋_GB2312" w:cs="仿宋_GB2312" w:eastAsia="仿宋_GB2312"/>
              </w:rPr>
              <w:t>序号 分类 业务系统名称 RTO、RPO要求 使用灾备技术</w:t>
            </w:r>
          </w:p>
          <w:p>
            <w:pPr>
              <w:pStyle w:val="null3"/>
              <w:jc w:val="both"/>
            </w:pPr>
            <w:r>
              <w:rPr>
                <w:rFonts w:ascii="仿宋_GB2312" w:hAnsi="仿宋_GB2312" w:cs="仿宋_GB2312" w:eastAsia="仿宋_GB2312"/>
              </w:rPr>
              <w:t>1 关键业务 重点项目“四个一批”管理系统 RTO/RPO≈0 RTO分钟级：实时数据保护技术（卷级CDP）；备份方式：本地+同城+异地。</w:t>
            </w:r>
          </w:p>
          <w:p>
            <w:pPr>
              <w:pStyle w:val="null3"/>
              <w:jc w:val="both"/>
            </w:pPr>
            <w:r>
              <w:rPr>
                <w:rFonts w:ascii="仿宋_GB2312" w:hAnsi="仿宋_GB2312" w:cs="仿宋_GB2312" w:eastAsia="仿宋_GB2312"/>
              </w:rPr>
              <w:t>2 重要业务 无 5min≤RTO/RPO≤h 实时数据保护技术、分钟级数据保护技术（CDM）、定时数据备份技术；备份方式：本地+同城。</w:t>
            </w:r>
          </w:p>
          <w:p>
            <w:pPr>
              <w:pStyle w:val="null3"/>
              <w:jc w:val="both"/>
            </w:pPr>
            <w:r>
              <w:rPr>
                <w:rFonts w:ascii="仿宋_GB2312" w:hAnsi="仿宋_GB2312" w:cs="仿宋_GB2312" w:eastAsia="仿宋_GB2312"/>
              </w:rPr>
              <w:t>3 一般业务 无 RTO/RPO≥天 定时数据备份技术、分钟级数据保护技术（CDM）；备份方式：本地。</w:t>
            </w:r>
          </w:p>
          <w:p>
            <w:pPr>
              <w:pStyle w:val="null3"/>
            </w:pP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数据资源对接需求：</w:t>
            </w:r>
          </w:p>
          <w:p>
            <w:pPr>
              <w:pStyle w:val="null3"/>
              <w:spacing w:before="120" w:after="120"/>
              <w:jc w:val="left"/>
              <w:outlineLvl w:val="2"/>
            </w:pPr>
            <w:r>
              <w:rPr>
                <w:rFonts w:ascii="仿宋_GB2312" w:hAnsi="仿宋_GB2312" w:cs="仿宋_GB2312" w:eastAsia="仿宋_GB2312"/>
                <w:sz w:val="28"/>
                <w:b/>
              </w:rPr>
              <w:t>1.委内系统对接</w:t>
            </w:r>
          </w:p>
          <w:p>
            <w:pPr>
              <w:pStyle w:val="null3"/>
              <w:ind w:firstLine="480"/>
              <w:jc w:val="both"/>
            </w:pPr>
            <w:r>
              <w:rPr>
                <w:rFonts w:ascii="仿宋_GB2312" w:hAnsi="仿宋_GB2312" w:cs="仿宋_GB2312" w:eastAsia="仿宋_GB2312"/>
              </w:rPr>
              <w:t>本期项目需与委内陕西省投资项目在线审批监管平台1个系统完成系统对接工作，重点项目“四个一批”管理系统建成并纳入陕西项目管理服务数字化平台，一是调取陕西省投资项目在线审批监管平台相关项目审批事项数据，及时更新系统中重点项目审批（核准、备案）批复情况、重点项目节能审查批复情况等；二是向陕西省投资项目在线审批监管平台、投资评审数字化管控系统、项目监管系统、项目大数据分析系统等共享项目建设进展信息、项目竣工信息等数据；三是获取已与陕西省投资项目在线审批监管平台建立交互关系的住建、环保等系统管理的项目相关数据，实现互联互通。委内系统对接采用接口调用方式进行数据交换。交换数据均不涉密。</w:t>
            </w:r>
          </w:p>
          <w:p>
            <w:pPr>
              <w:pStyle w:val="null3"/>
              <w:ind w:firstLine="480"/>
              <w:jc w:val="both"/>
            </w:pPr>
            <w:r>
              <w:rPr>
                <w:rFonts w:ascii="仿宋_GB2312" w:hAnsi="仿宋_GB2312" w:cs="仿宋_GB2312" w:eastAsia="仿宋_GB2312"/>
              </w:rPr>
              <w:t>委内系统对接数据清单如表6-1所示。</w:t>
            </w:r>
          </w:p>
          <w:p>
            <w:pPr>
              <w:pStyle w:val="null3"/>
              <w:jc w:val="center"/>
            </w:pPr>
            <w:r>
              <w:rPr>
                <w:rFonts w:ascii="仿宋_GB2312" w:hAnsi="仿宋_GB2312" w:cs="仿宋_GB2312" w:eastAsia="仿宋_GB2312"/>
              </w:rPr>
              <w:t>表6-1与委内对接数据清单</w:t>
            </w:r>
          </w:p>
          <w:tbl>
            <w:tblPr>
              <w:tblBorders>
                <w:top w:val="none" w:color="000000" w:sz="4"/>
                <w:left w:val="none" w:color="000000" w:sz="4"/>
                <w:bottom w:val="none" w:color="000000" w:sz="4"/>
                <w:right w:val="none" w:color="000000" w:sz="4"/>
                <w:insideH w:val="none"/>
                <w:insideV w:val="none"/>
              </w:tblBorders>
            </w:tblPr>
            <w:tblGrid>
              <w:gridCol w:w="194"/>
              <w:gridCol w:w="224"/>
              <w:gridCol w:w="290"/>
              <w:gridCol w:w="793"/>
              <w:gridCol w:w="200"/>
              <w:gridCol w:w="647"/>
              <w:gridCol w:w="206"/>
            </w:tblGrid>
            <w:tr>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用数系统</w:t>
                  </w:r>
                </w:p>
              </w:tc>
              <w:tc>
                <w:tcPr>
                  <w:tcW w:type="dxa" w:w="2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数据来源</w:t>
                  </w:r>
                </w:p>
              </w:tc>
              <w:tc>
                <w:tcPr>
                  <w:tcW w:type="dxa" w:w="7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数据内容</w:t>
                  </w:r>
                </w:p>
              </w:tc>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对接方式</w:t>
                  </w:r>
                </w:p>
              </w:tc>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接口名称</w:t>
                  </w:r>
                </w:p>
              </w:tc>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频率</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重点项目“四个一批”管理系统</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陕西省</w:t>
                  </w:r>
                  <w:r>
                    <w:rPr>
                      <w:rFonts w:ascii="仿宋_GB2312" w:hAnsi="仿宋_GB2312" w:cs="仿宋_GB2312" w:eastAsia="仿宋_GB2312"/>
                      <w:sz w:val="19"/>
                      <w:color w:val="000000"/>
                    </w:rPr>
                    <w:t>投资</w:t>
                  </w:r>
                  <w:r>
                    <w:rPr>
                      <w:rFonts w:ascii="仿宋_GB2312" w:hAnsi="仿宋_GB2312" w:cs="仿宋_GB2312" w:eastAsia="仿宋_GB2312"/>
                      <w:sz w:val="19"/>
                    </w:rPr>
                    <w:t>项目在线审批监管平台</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1．在线平台申报项目信息</w:t>
                  </w:r>
                </w:p>
                <w:p>
                  <w:pPr>
                    <w:pStyle w:val="null3"/>
                    <w:jc w:val="both"/>
                  </w:pPr>
                  <w:r>
                    <w:rPr>
                      <w:rFonts w:ascii="仿宋_GB2312" w:hAnsi="仿宋_GB2312" w:cs="仿宋_GB2312" w:eastAsia="仿宋_GB2312"/>
                      <w:sz w:val="19"/>
                    </w:rPr>
                    <w:t>2．在线平台审批事项办理过程信息</w:t>
                  </w:r>
                </w:p>
                <w:p>
                  <w:pPr>
                    <w:pStyle w:val="null3"/>
                    <w:jc w:val="both"/>
                  </w:pPr>
                  <w:r>
                    <w:rPr>
                      <w:rFonts w:ascii="仿宋_GB2312" w:hAnsi="仿宋_GB2312" w:cs="仿宋_GB2312" w:eastAsia="仿宋_GB2312"/>
                      <w:sz w:val="19"/>
                    </w:rPr>
                    <w:t>3．在线平台审批部门信息</w:t>
                  </w:r>
                </w:p>
                <w:p>
                  <w:pPr>
                    <w:pStyle w:val="null3"/>
                    <w:jc w:val="both"/>
                  </w:pPr>
                  <w:r>
                    <w:rPr>
                      <w:rFonts w:ascii="仿宋_GB2312" w:hAnsi="仿宋_GB2312" w:cs="仿宋_GB2312" w:eastAsia="仿宋_GB2312"/>
                      <w:sz w:val="19"/>
                    </w:rPr>
                    <w:t>4．在线平台审批事项清单</w:t>
                  </w:r>
                </w:p>
                <w:p>
                  <w:pPr>
                    <w:pStyle w:val="null3"/>
                    <w:jc w:val="both"/>
                  </w:pPr>
                  <w:r>
                    <w:rPr>
                      <w:rFonts w:ascii="仿宋_GB2312" w:hAnsi="仿宋_GB2312" w:cs="仿宋_GB2312" w:eastAsia="仿宋_GB2312"/>
                      <w:sz w:val="19"/>
                    </w:rPr>
                    <w:t>5．在线平台事项清单信息</w:t>
                  </w:r>
                </w:p>
                <w:p>
                  <w:pPr>
                    <w:pStyle w:val="null3"/>
                    <w:jc w:val="both"/>
                  </w:pPr>
                  <w:r>
                    <w:rPr>
                      <w:rFonts w:ascii="仿宋_GB2312" w:hAnsi="仿宋_GB2312" w:cs="仿宋_GB2312" w:eastAsia="仿宋_GB2312"/>
                      <w:sz w:val="19"/>
                    </w:rPr>
                    <w:t>6．在线平台审批事项材料清单</w:t>
                  </w:r>
                </w:p>
                <w:p>
                  <w:pPr>
                    <w:pStyle w:val="null3"/>
                    <w:jc w:val="both"/>
                  </w:pPr>
                  <w:r>
                    <w:rPr>
                      <w:rFonts w:ascii="仿宋_GB2312" w:hAnsi="仿宋_GB2312" w:cs="仿宋_GB2312" w:eastAsia="仿宋_GB2312"/>
                      <w:sz w:val="19"/>
                    </w:rPr>
                    <w:t>7．在线平台项目对应事项清单</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接口</w:t>
                  </w:r>
                </w:p>
                <w:p>
                  <w:pPr>
                    <w:pStyle w:val="null3"/>
                    <w:jc w:val="both"/>
                  </w:pPr>
                  <w:r>
                    <w:rPr>
                      <w:rFonts w:ascii="仿宋_GB2312" w:hAnsi="仿宋_GB2312" w:cs="仿宋_GB2312" w:eastAsia="仿宋_GB2312"/>
                      <w:sz w:val="19"/>
                    </w:rPr>
                    <w:t>调用</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项目开工信息接口；项目竣工信息接口；项目进展信息接口；投资项目信息接口；项目事项信息接口；项目事项过程信息接口</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实时</w:t>
                  </w:r>
                </w:p>
              </w:tc>
            </w:tr>
          </w:tbl>
          <w:p>
            <w:pPr>
              <w:pStyle w:val="null3"/>
              <w:spacing w:before="120" w:after="120"/>
              <w:jc w:val="left"/>
              <w:outlineLvl w:val="2"/>
            </w:pPr>
            <w:r>
              <w:rPr>
                <w:rFonts w:ascii="仿宋_GB2312" w:hAnsi="仿宋_GB2312" w:cs="仿宋_GB2312" w:eastAsia="仿宋_GB2312"/>
                <w:sz w:val="28"/>
                <w:b/>
              </w:rPr>
              <w:t>2.与地市系统对接</w:t>
            </w:r>
          </w:p>
          <w:p>
            <w:pPr>
              <w:pStyle w:val="null3"/>
              <w:ind w:firstLine="480"/>
              <w:jc w:val="both"/>
            </w:pPr>
            <w:r>
              <w:rPr>
                <w:rFonts w:ascii="仿宋_GB2312" w:hAnsi="仿宋_GB2312" w:cs="仿宋_GB2312" w:eastAsia="仿宋_GB2312"/>
              </w:rPr>
              <w:t>本期项目需与西安市重点项目综合管理平台、延安市发展改革委员会重点项目“多库联通”数字管理平台、铜川市重点项目智慧管理云平台、商洛市项目管理平台、咸阳市项目管理平台、宝鸡市重点项目前期及重点项目智慧管理云平台、安康市重点项目智慧管理云平台7个系统通过业务协同、数据协同等方式完成项目数据汇聚。</w:t>
            </w:r>
          </w:p>
          <w:p>
            <w:pPr>
              <w:pStyle w:val="null3"/>
              <w:spacing w:after="60"/>
              <w:jc w:val="center"/>
            </w:pPr>
            <w:r>
              <w:rPr>
                <w:rFonts w:ascii="仿宋_GB2312" w:hAnsi="仿宋_GB2312" w:cs="仿宋_GB2312" w:eastAsia="仿宋_GB2312"/>
              </w:rPr>
              <w:t>表6-2与地市系统数据对接清单</w:t>
            </w:r>
          </w:p>
          <w:tbl>
            <w:tblPr>
              <w:tblInd w:type="dxa" w:w="120"/>
              <w:tblBorders>
                <w:top w:val="none" w:color="000000" w:sz="4"/>
                <w:left w:val="none" w:color="000000" w:sz="4"/>
                <w:bottom w:val="none" w:color="000000" w:sz="4"/>
                <w:right w:val="none" w:color="000000" w:sz="4"/>
                <w:insideH w:val="none"/>
                <w:insideV w:val="none"/>
              </w:tblBorders>
            </w:tblPr>
            <w:tblGrid>
              <w:gridCol w:w="432"/>
              <w:gridCol w:w="706"/>
              <w:gridCol w:w="525"/>
              <w:gridCol w:w="348"/>
              <w:gridCol w:w="218"/>
              <w:gridCol w:w="325"/>
            </w:tblGrid>
            <w:tr>
              <w:tc>
                <w:tcPr>
                  <w:tcW w:type="dxa" w:w="4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数据名称</w:t>
                  </w:r>
                </w:p>
              </w:tc>
              <w:tc>
                <w:tcPr>
                  <w:tcW w:type="dxa" w:w="7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数据内容</w:t>
                  </w:r>
                </w:p>
              </w:tc>
              <w:tc>
                <w:tcPr>
                  <w:tcW w:type="dxa" w:w="5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数据来源</w:t>
                  </w:r>
                </w:p>
              </w:tc>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应用场景</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共享方式</w:t>
                  </w:r>
                </w:p>
              </w:tc>
              <w:tc>
                <w:tcPr>
                  <w:tcW w:type="dxa" w:w="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数据接口</w:t>
                  </w: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谋划项目信息</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项目建设年度、项目建设单位、行业类别、项目意向建设内容和规模、项目审批层级</w:t>
                  </w:r>
                </w:p>
              </w:tc>
              <w:tc>
                <w:tcPr>
                  <w:tcW w:type="dxa" w:w="5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西安市重点项目综合管理平台、延安市发展改革委员会重点项目“多库联通”数字管理平台、铜川市重点项目智慧管理云平台、商洛市项目管理平台、咸阳市项目管理平台、宝鸡市重点项目前期及重点项目智慧管理云平台、安康市重点项目智慧管理云平台</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谋划项目管理</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接口</w:t>
                  </w:r>
                </w:p>
              </w:tc>
              <w:tc>
                <w:tcPr>
                  <w:tcW w:type="dxa" w:w="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“四个一批”项目信息接口</w:t>
                  </w: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储备项目信息</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建设必要性、投资类型、预计投资金额、计划开工时间</w:t>
                  </w:r>
                </w:p>
              </w:tc>
              <w:tc>
                <w:tcPr>
                  <w:tcW w:type="dxa" w:w="525"/>
                  <w:vMerge/>
                  <w:tcBorders>
                    <w:top w:val="none" w:color="000000" w:sz="4"/>
                    <w:left w:val="single" w:color="000000" w:sz="4"/>
                    <w:bottom w:val="single" w:color="000000" w:sz="4"/>
                    <w:right w:val="single" w:color="000000" w:sz="4"/>
                  </w:tcBorders>
                </w:tcP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储备项目管理</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接口</w:t>
                  </w:r>
                </w:p>
              </w:tc>
              <w:tc>
                <w:tcPr>
                  <w:tcW w:type="dxa" w:w="325"/>
                  <w:vMerge/>
                  <w:tcBorders>
                    <w:top w:val="none" w:color="000000" w:sz="4"/>
                    <w:left w:val="single" w:color="000000" w:sz="4"/>
                    <w:bottom w:val="single" w:color="000000" w:sz="4"/>
                    <w:right w:val="single" w:color="000000" w:sz="4"/>
                  </w:tcBorders>
                </w:tcP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开工（在建）项目信息</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实际开工时间、预计竣工时间、年计划投资、计划完成工程量</w:t>
                  </w:r>
                </w:p>
              </w:tc>
              <w:tc>
                <w:tcPr>
                  <w:tcW w:type="dxa" w:w="525"/>
                  <w:vMerge/>
                  <w:tcBorders>
                    <w:top w:val="none" w:color="000000" w:sz="4"/>
                    <w:left w:val="single" w:color="000000" w:sz="4"/>
                    <w:bottom w:val="single" w:color="000000" w:sz="4"/>
                    <w:right w:val="single" w:color="000000" w:sz="4"/>
                  </w:tcBorders>
                </w:tcP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开工（在建）项目管理</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接口</w:t>
                  </w:r>
                </w:p>
              </w:tc>
              <w:tc>
                <w:tcPr>
                  <w:tcW w:type="dxa" w:w="325"/>
                  <w:vMerge/>
                  <w:tcBorders>
                    <w:top w:val="none" w:color="000000" w:sz="4"/>
                    <w:left w:val="single" w:color="000000" w:sz="4"/>
                    <w:bottom w:val="single" w:color="000000" w:sz="4"/>
                    <w:right w:val="single" w:color="000000" w:sz="4"/>
                  </w:tcBorders>
                </w:tcP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投产项目信息</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竣工时间、污染物排放量、批复耗能、累计完成投资</w:t>
                  </w:r>
                </w:p>
              </w:tc>
              <w:tc>
                <w:tcPr>
                  <w:tcW w:type="dxa" w:w="525"/>
                  <w:vMerge/>
                  <w:tcBorders>
                    <w:top w:val="none" w:color="000000" w:sz="4"/>
                    <w:left w:val="single" w:color="000000" w:sz="4"/>
                    <w:bottom w:val="single" w:color="000000" w:sz="4"/>
                    <w:right w:val="single" w:color="000000" w:sz="4"/>
                  </w:tcBorders>
                </w:tcP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投产项目管理</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接口</w:t>
                  </w:r>
                </w:p>
              </w:tc>
              <w:tc>
                <w:tcPr>
                  <w:tcW w:type="dxa" w:w="325"/>
                  <w:vMerge/>
                  <w:tcBorders>
                    <w:top w:val="none" w:color="000000" w:sz="4"/>
                    <w:left w:val="single" w:color="000000" w:sz="4"/>
                    <w:bottom w:val="single" w:color="000000" w:sz="4"/>
                    <w:right w:val="single" w:color="000000" w:sz="4"/>
                  </w:tcBorders>
                </w:tcP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月度进展信息</w:t>
                  </w:r>
                </w:p>
              </w:tc>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当月投资、当月完成工程量、施工状态</w:t>
                  </w:r>
                </w:p>
              </w:tc>
              <w:tc>
                <w:tcPr>
                  <w:tcW w:type="dxa" w:w="525"/>
                  <w:vMerge/>
                  <w:tcBorders>
                    <w:top w:val="none" w:color="000000" w:sz="4"/>
                    <w:left w:val="single" w:color="000000" w:sz="4"/>
                    <w:bottom w:val="single" w:color="000000" w:sz="4"/>
                    <w:right w:val="single" w:color="000000" w:sz="4"/>
                  </w:tcBorders>
                </w:tcP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任务调度</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接口</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项目月度信息接口</w:t>
                  </w:r>
                </w:p>
              </w:tc>
            </w:tr>
          </w:tbl>
          <w:p>
            <w:pPr>
              <w:pStyle w:val="null3"/>
              <w:spacing w:before="120" w:after="120"/>
              <w:jc w:val="left"/>
              <w:outlineLvl w:val="2"/>
            </w:pPr>
            <w:r>
              <w:rPr>
                <w:rFonts w:ascii="仿宋_GB2312" w:hAnsi="仿宋_GB2312" w:cs="仿宋_GB2312" w:eastAsia="仿宋_GB2312"/>
                <w:sz w:val="28"/>
                <w:b/>
              </w:rPr>
              <w:t>3.数据共享清单</w:t>
            </w:r>
          </w:p>
          <w:p>
            <w:pPr>
              <w:pStyle w:val="null3"/>
              <w:jc w:val="both"/>
            </w:pPr>
            <w:r>
              <w:rPr>
                <w:rFonts w:ascii="仿宋_GB2312" w:hAnsi="仿宋_GB2312" w:cs="仿宋_GB2312" w:eastAsia="仿宋_GB2312"/>
              </w:rPr>
              <w:t xml:space="preserve">     本次建设项目对外数据供给清单如表6-3所示</w:t>
            </w:r>
          </w:p>
          <w:p>
            <w:pPr>
              <w:pStyle w:val="null3"/>
              <w:jc w:val="both"/>
            </w:pPr>
            <w:r>
              <w:rPr>
                <w:rFonts w:ascii="仿宋_GB2312" w:hAnsi="仿宋_GB2312" w:cs="仿宋_GB2312" w:eastAsia="仿宋_GB2312"/>
              </w:rPr>
              <w:t xml:space="preserve"> </w:t>
            </w:r>
          </w:p>
          <w:p>
            <w:pPr>
              <w:pStyle w:val="null3"/>
              <w:spacing w:after="60"/>
              <w:jc w:val="center"/>
            </w:pPr>
            <w:r>
              <w:rPr>
                <w:rFonts w:ascii="仿宋_GB2312" w:hAnsi="仿宋_GB2312" w:cs="仿宋_GB2312" w:eastAsia="仿宋_GB2312"/>
              </w:rPr>
              <w:t>表6-3对外数据供给清单</w:t>
            </w:r>
          </w:p>
          <w:tbl>
            <w:tblPr>
              <w:tblInd w:type="dxa" w:w="120"/>
              <w:tblBorders>
                <w:top w:val="none" w:color="000000" w:sz="4"/>
                <w:left w:val="none" w:color="000000" w:sz="4"/>
                <w:bottom w:val="none" w:color="000000" w:sz="4"/>
                <w:right w:val="none" w:color="000000" w:sz="4"/>
                <w:insideH w:val="none"/>
                <w:insideV w:val="none"/>
              </w:tblBorders>
            </w:tblPr>
            <w:tblGrid>
              <w:gridCol w:w="194"/>
              <w:gridCol w:w="230"/>
              <w:gridCol w:w="629"/>
              <w:gridCol w:w="357"/>
              <w:gridCol w:w="230"/>
              <w:gridCol w:w="254"/>
              <w:gridCol w:w="236"/>
              <w:gridCol w:w="230"/>
              <w:gridCol w:w="194"/>
            </w:tblGrid>
            <w:tr>
              <w:tc>
                <w:tcPr>
                  <w:tcW w:type="dxa" w:w="19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序号</w:t>
                  </w:r>
                </w:p>
              </w:tc>
              <w:tc>
                <w:tcPr>
                  <w:tcW w:type="dxa" w:w="23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数据名称</w:t>
                  </w:r>
                </w:p>
              </w:tc>
              <w:tc>
                <w:tcPr>
                  <w:tcW w:type="dxa" w:w="62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数据项</w:t>
                  </w:r>
                </w:p>
              </w:tc>
              <w:tc>
                <w:tcPr>
                  <w:tcW w:type="dxa" w:w="35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供给部门</w:t>
                  </w:r>
                  <w:r>
                    <w:br/>
                  </w:r>
                  <w:r>
                    <w:rPr>
                      <w:rFonts w:ascii="仿宋_GB2312" w:hAnsi="仿宋_GB2312" w:cs="仿宋_GB2312" w:eastAsia="仿宋_GB2312"/>
                      <w:sz w:val="19"/>
                      <w:b/>
                    </w:rPr>
                    <w:t>（单位）</w:t>
                  </w:r>
                </w:p>
              </w:tc>
              <w:tc>
                <w:tcPr>
                  <w:tcW w:type="dxa" w:w="23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数据类型</w:t>
                  </w:r>
                </w:p>
              </w:tc>
              <w:tc>
                <w:tcPr>
                  <w:tcW w:type="dxa" w:w="4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共享属性</w:t>
                  </w:r>
                </w:p>
              </w:tc>
              <w:tc>
                <w:tcPr>
                  <w:tcW w:type="dxa" w:w="23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数据来源</w:t>
                  </w:r>
                </w:p>
              </w:tc>
              <w:tc>
                <w:tcPr>
                  <w:tcW w:type="dxa" w:w="19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更新</w:t>
                  </w:r>
                  <w:r>
                    <w:br/>
                  </w:r>
                  <w:r>
                    <w:rPr>
                      <w:rFonts w:ascii="仿宋_GB2312" w:hAnsi="仿宋_GB2312" w:cs="仿宋_GB2312" w:eastAsia="仿宋_GB2312"/>
                      <w:sz w:val="19"/>
                      <w:b/>
                    </w:rPr>
                    <w:t>周期</w:t>
                  </w:r>
                </w:p>
              </w:tc>
            </w:tr>
            <w:tr>
              <w:tc>
                <w:tcPr>
                  <w:tcW w:type="dxa" w:w="194"/>
                  <w:vMerge/>
                  <w:tcBorders>
                    <w:top w:val="single" w:color="000000" w:sz="4"/>
                    <w:left w:val="single" w:color="000000" w:sz="4"/>
                    <w:bottom w:val="single" w:color="000000" w:sz="4"/>
                    <w:right w:val="single" w:color="000000" w:sz="4"/>
                  </w:tcBorders>
                </w:tcPr>
                <w:p/>
              </w:tc>
              <w:tc>
                <w:tcPr>
                  <w:tcW w:type="dxa" w:w="230"/>
                  <w:vMerge/>
                  <w:tcBorders>
                    <w:top w:val="single" w:color="000000" w:sz="4"/>
                    <w:left w:val="none" w:color="000000" w:sz="4"/>
                    <w:bottom w:val="single" w:color="000000" w:sz="4"/>
                    <w:right w:val="single" w:color="000000" w:sz="4"/>
                  </w:tcBorders>
                </w:tcPr>
                <w:p/>
              </w:tc>
              <w:tc>
                <w:tcPr>
                  <w:tcW w:type="dxa" w:w="629"/>
                  <w:vMerge/>
                  <w:tcBorders>
                    <w:top w:val="single" w:color="000000" w:sz="4"/>
                    <w:left w:val="none" w:color="000000" w:sz="4"/>
                    <w:bottom w:val="single" w:color="000000" w:sz="4"/>
                    <w:right w:val="single" w:color="000000" w:sz="4"/>
                  </w:tcBorders>
                </w:tcPr>
                <w:p/>
              </w:tc>
              <w:tc>
                <w:tcPr>
                  <w:tcW w:type="dxa" w:w="357"/>
                  <w:vMerge/>
                  <w:tcBorders>
                    <w:top w:val="single" w:color="000000" w:sz="4"/>
                    <w:left w:val="none" w:color="000000" w:sz="4"/>
                    <w:bottom w:val="single" w:color="000000" w:sz="4"/>
                    <w:right w:val="single" w:color="000000" w:sz="4"/>
                  </w:tcBorders>
                </w:tcPr>
                <w:p/>
              </w:tc>
              <w:tc>
                <w:tcPr>
                  <w:tcW w:type="dxa" w:w="230"/>
                  <w:vMerge/>
                  <w:tcBorders>
                    <w:top w:val="single" w:color="000000" w:sz="4"/>
                    <w:left w:val="none" w:color="000000" w:sz="4"/>
                    <w:bottom w:val="single" w:color="000000" w:sz="4"/>
                    <w:right w:val="single" w:color="000000" w:sz="4"/>
                  </w:tcBorders>
                </w:tc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共享</w:t>
                  </w:r>
                </w:p>
                <w:p>
                  <w:pPr>
                    <w:pStyle w:val="null3"/>
                    <w:jc w:val="center"/>
                  </w:pPr>
                  <w:r>
                    <w:rPr>
                      <w:rFonts w:ascii="仿宋_GB2312" w:hAnsi="仿宋_GB2312" w:cs="仿宋_GB2312" w:eastAsia="仿宋_GB2312"/>
                      <w:sz w:val="19"/>
                      <w:b/>
                    </w:rPr>
                    <w:t>类型</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共享</w:t>
                  </w:r>
                </w:p>
                <w:p>
                  <w:pPr>
                    <w:pStyle w:val="null3"/>
                    <w:jc w:val="center"/>
                  </w:pPr>
                  <w:r>
                    <w:rPr>
                      <w:rFonts w:ascii="仿宋_GB2312" w:hAnsi="仿宋_GB2312" w:cs="仿宋_GB2312" w:eastAsia="仿宋_GB2312"/>
                      <w:sz w:val="19"/>
                      <w:b/>
                    </w:rPr>
                    <w:t>方式</w:t>
                  </w:r>
                </w:p>
              </w:tc>
              <w:tc>
                <w:tcPr>
                  <w:tcW w:type="dxa" w:w="230"/>
                  <w:vMerge/>
                  <w:tcBorders>
                    <w:top w:val="single" w:color="000000" w:sz="4"/>
                    <w:left w:val="none" w:color="000000" w:sz="4"/>
                    <w:bottom w:val="single" w:color="000000" w:sz="4"/>
                    <w:right w:val="single" w:color="000000" w:sz="4"/>
                  </w:tcBorders>
                </w:tcPr>
                <w:p/>
              </w:tc>
              <w:tc>
                <w:tcPr>
                  <w:tcW w:type="dxa" w:w="194"/>
                  <w:vMerge/>
                  <w:tcBorders>
                    <w:top w:val="singl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项目手续信息</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项目名称、项目登记时间、项目状态、立项类型、事项编码、事项名称、受理时间、承诺日期、办结时间、是否使用、申请人、申请时间</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各地市发展和改革委员会</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结构化</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有条件共享</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接口</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重点项目“四个一批”管理系统</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每日</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重点项目信息</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目名称、建设年限起、建设年限止、责任单位、行业类别、重点项目申报指导目录、项目立项审批层级、实际开工时间、预计竣工时间、投产后年度释放产值、预计带动就业岗位数、是否纳入年度计划建设项目计划、建设内容和规模</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各地市发展和改革委员会、陕西省数字资源管理平台、“秦政通”</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结构化</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有条件</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接口</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重点项目“四个一批”管理系统</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每日</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项目月度信息</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累计完成投资、本月计划投资、本月完成投资、年度计划投资、总投资、截至去年底累计完成投资、年度投资完成率、当月完成工程量、截止到月末形象进度</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各地市发展和改革委员会、陕西省数字资源管理平台、“秦政通”</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结构化</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有条件</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接口</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重点项目“四个一批”管理系统</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每月</w:t>
                  </w:r>
                </w:p>
              </w:tc>
            </w:tr>
          </w:tbl>
          <w:p>
            <w:pPr>
              <w:pStyle w:val="null3"/>
              <w:spacing w:before="120" w:after="120"/>
              <w:jc w:val="left"/>
              <w:outlineLvl w:val="2"/>
            </w:pPr>
            <w:r>
              <w:rPr>
                <w:rFonts w:ascii="仿宋_GB2312" w:hAnsi="仿宋_GB2312" w:cs="仿宋_GB2312" w:eastAsia="仿宋_GB2312"/>
                <w:sz w:val="28"/>
                <w:b/>
              </w:rPr>
              <w:t>4.数据共享方式</w:t>
            </w:r>
          </w:p>
          <w:p>
            <w:pPr>
              <w:pStyle w:val="null3"/>
              <w:ind w:firstLine="480"/>
              <w:jc w:val="both"/>
            </w:pPr>
            <w:r>
              <w:rPr>
                <w:rFonts w:ascii="仿宋_GB2312" w:hAnsi="仿宋_GB2312" w:cs="仿宋_GB2312" w:eastAsia="仿宋_GB2312"/>
              </w:rPr>
              <w:t>数据交换分对委内和委外，对委外通过对数据进行分级分类，制定数据共享目录，提供给数据治理交换管理系统，由数据治理交换管理系统统一将陕西省发展和改革委员会需要共享的数据目录提供给陕西省政务数据共享交换平台。</w:t>
            </w:r>
          </w:p>
          <w:p>
            <w:pPr>
              <w:pStyle w:val="null3"/>
              <w:ind w:firstLine="480"/>
              <w:jc w:val="both"/>
            </w:pPr>
            <w:r>
              <w:rPr>
                <w:rFonts w:ascii="仿宋_GB2312" w:hAnsi="仿宋_GB2312" w:cs="仿宋_GB2312" w:eastAsia="仿宋_GB2312"/>
              </w:rPr>
              <w:t>各地市项目管理应用方提供本地市的数据上报、数据查询、数据接口等多种方式进行数据交换共享服务。</w:t>
            </w:r>
          </w:p>
          <w:p>
            <w:pPr>
              <w:pStyle w:val="null3"/>
              <w:ind w:firstLine="480"/>
              <w:jc w:val="both"/>
            </w:pPr>
            <w:r>
              <w:rPr>
                <w:rFonts w:ascii="仿宋_GB2312" w:hAnsi="仿宋_GB2312" w:cs="仿宋_GB2312" w:eastAsia="仿宋_GB2312"/>
              </w:rPr>
              <w:t>对各地市汇集的项目数据信息主要包括项目名称、投资主体、主要建设内容、建设年限、总投资、年度计划投资、项目阶段、手续办理情况、月度进展等。</w:t>
            </w:r>
          </w:p>
          <w:p>
            <w:pPr>
              <w:pStyle w:val="null3"/>
              <w:ind w:firstLine="480"/>
              <w:jc w:val="both"/>
            </w:pPr>
            <w:r>
              <w:rPr>
                <w:rFonts w:ascii="仿宋_GB2312" w:hAnsi="仿宋_GB2312" w:cs="仿宋_GB2312" w:eastAsia="仿宋_GB2312"/>
              </w:rPr>
              <w:t>数据共享交换平台，采用前置机方式，平台与其他系统之间通过库表交换、文件交换、服务接口等方式进行数据对接。同时，陕西省政务数据共享交换平台支持文件、数据库表、服务接口或组合交换方式。</w:t>
            </w:r>
          </w:p>
          <w:p>
            <w:pPr>
              <w:pStyle w:val="null3"/>
              <w:ind w:firstLine="480"/>
              <w:jc w:val="both"/>
            </w:pPr>
            <w:r>
              <w:rPr>
                <w:rFonts w:ascii="仿宋_GB2312" w:hAnsi="仿宋_GB2312" w:cs="仿宋_GB2312" w:eastAsia="仿宋_GB2312"/>
              </w:rPr>
              <w:t>1.库表方式</w:t>
            </w:r>
          </w:p>
          <w:p>
            <w:pPr>
              <w:pStyle w:val="null3"/>
              <w:ind w:firstLine="480"/>
              <w:jc w:val="both"/>
            </w:pPr>
            <w:r>
              <w:rPr>
                <w:rFonts w:ascii="仿宋_GB2312" w:hAnsi="仿宋_GB2312" w:cs="仿宋_GB2312" w:eastAsia="仿宋_GB2312"/>
              </w:rPr>
              <w:t>由信息资源提供方以数据库表形式实时同步至资源提供方前置机，由陕西省政务数据共享交换平台同步至资源需求方前置机，供需求方抽取。适用于大量数据的数据交换或数据增量更新频繁的数据交换。</w:t>
            </w:r>
          </w:p>
          <w:p>
            <w:pPr>
              <w:pStyle w:val="null3"/>
              <w:ind w:firstLine="480"/>
              <w:jc w:val="both"/>
            </w:pPr>
            <w:r>
              <w:rPr>
                <w:rFonts w:ascii="仿宋_GB2312" w:hAnsi="仿宋_GB2312" w:cs="仿宋_GB2312" w:eastAsia="仿宋_GB2312"/>
              </w:rPr>
              <w:t>2.文件交换</w:t>
            </w:r>
          </w:p>
          <w:p>
            <w:pPr>
              <w:pStyle w:val="null3"/>
              <w:ind w:firstLine="480"/>
              <w:jc w:val="both"/>
            </w:pPr>
            <w:r>
              <w:rPr>
                <w:rFonts w:ascii="仿宋_GB2312" w:hAnsi="仿宋_GB2312" w:cs="仿宋_GB2312" w:eastAsia="仿宋_GB2312"/>
              </w:rPr>
              <w:t>文件以实体形式通过前置端FTP服务实现文件交换。前置机与其他部门或系统平台之间共同约定并开放相关的FTP目录，由各部门主动推送给平台前置机。交换的文件主要有XML格式文件、Excel格式文件和文本格式文件。各部门数据文件内容要按照数据交换标准提供。</w:t>
            </w:r>
          </w:p>
          <w:p>
            <w:pPr>
              <w:pStyle w:val="null3"/>
              <w:ind w:firstLine="480"/>
              <w:jc w:val="both"/>
            </w:pPr>
            <w:r>
              <w:rPr>
                <w:rFonts w:ascii="仿宋_GB2312" w:hAnsi="仿宋_GB2312" w:cs="仿宋_GB2312" w:eastAsia="仿宋_GB2312"/>
              </w:rPr>
              <w:t>3.接口方式</w:t>
            </w:r>
          </w:p>
          <w:p>
            <w:pPr>
              <w:pStyle w:val="null3"/>
              <w:jc w:val="both"/>
            </w:pPr>
            <w:r>
              <w:rPr>
                <w:rFonts w:ascii="仿宋_GB2312" w:hAnsi="仿宋_GB2312" w:cs="仿宋_GB2312" w:eastAsia="仿宋_GB2312"/>
              </w:rPr>
              <w:t>通过开发各自的Web Service接口，供其他需调用数据的系统使用。需要其他部门配合开发接口。该方式审批信息共享实时、高效。</w:t>
            </w:r>
          </w:p>
          <w:p>
            <w:pPr>
              <w:pStyle w:val="null3"/>
              <w:jc w:val="both"/>
            </w:pPr>
            <w:r>
              <w:rPr>
                <w:rFonts w:ascii="仿宋_GB2312" w:hAnsi="仿宋_GB2312" w:cs="仿宋_GB2312" w:eastAsia="仿宋_GB2312"/>
              </w:rPr>
              <w:t>4.数据资源目录</w:t>
            </w:r>
          </w:p>
          <w:p>
            <w:pPr>
              <w:pStyle w:val="null3"/>
              <w:ind w:firstLine="480"/>
              <w:jc w:val="both"/>
            </w:pPr>
            <w:r>
              <w:rPr>
                <w:rFonts w:ascii="仿宋_GB2312" w:hAnsi="仿宋_GB2312" w:cs="仿宋_GB2312" w:eastAsia="仿宋_GB2312"/>
              </w:rPr>
              <w:t>根据本期项目治理后的数据以及需要供给的数据清单，编列本项目的数据资源目录如表6-4所示。</w:t>
            </w:r>
          </w:p>
          <w:p>
            <w:pPr>
              <w:pStyle w:val="null3"/>
              <w:spacing w:after="60"/>
              <w:jc w:val="center"/>
            </w:pPr>
            <w:r>
              <w:rPr>
                <w:rFonts w:ascii="仿宋_GB2312" w:hAnsi="仿宋_GB2312" w:cs="仿宋_GB2312" w:eastAsia="仿宋_GB2312"/>
              </w:rPr>
              <w:t>表6-4数据资源目录</w:t>
            </w:r>
          </w:p>
          <w:tbl>
            <w:tblPr>
              <w:tblInd w:type="dxa" w:w="120"/>
              <w:tblBorders>
                <w:top w:val="none" w:color="000000" w:sz="4"/>
                <w:left w:val="none" w:color="000000" w:sz="4"/>
                <w:bottom w:val="none" w:color="000000" w:sz="4"/>
                <w:right w:val="none" w:color="000000" w:sz="4"/>
                <w:insideH w:val="none"/>
                <w:insideV w:val="none"/>
              </w:tblBorders>
            </w:tblPr>
            <w:tblGrid>
              <w:gridCol w:w="86"/>
              <w:gridCol w:w="124"/>
              <w:gridCol w:w="153"/>
              <w:gridCol w:w="153"/>
              <w:gridCol w:w="405"/>
              <w:gridCol w:w="121"/>
              <w:gridCol w:w="126"/>
              <w:gridCol w:w="583"/>
              <w:gridCol w:w="126"/>
              <w:gridCol w:w="121"/>
              <w:gridCol w:w="129"/>
              <w:gridCol w:w="116"/>
              <w:gridCol w:w="151"/>
              <w:gridCol w:w="129"/>
            </w:tblGrid>
            <w:tr>
              <w:tc>
                <w:tcPr>
                  <w:tcW w:type="dxa" w:w="8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2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信息资源分类</w:t>
                  </w:r>
                </w:p>
              </w:tc>
              <w:tc>
                <w:tcPr>
                  <w:tcW w:type="dxa" w:w="15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信息资源名称</w:t>
                  </w:r>
                </w:p>
              </w:tc>
              <w:tc>
                <w:tcPr>
                  <w:tcW w:type="dxa" w:w="15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信息资源提供方</w:t>
                  </w:r>
                </w:p>
              </w:tc>
              <w:tc>
                <w:tcPr>
                  <w:tcW w:type="dxa" w:w="40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资源提供方代码</w:t>
                  </w:r>
                </w:p>
              </w:tc>
              <w:tc>
                <w:tcPr>
                  <w:tcW w:type="dxa" w:w="12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信息资源摘要</w:t>
                  </w:r>
                </w:p>
              </w:tc>
              <w:tc>
                <w:tcPr>
                  <w:tcW w:type="dxa" w:w="12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信息资源格式</w:t>
                  </w:r>
                </w:p>
              </w:tc>
              <w:tc>
                <w:tcPr>
                  <w:tcW w:type="dxa" w:w="70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信息项信息</w:t>
                  </w:r>
                </w:p>
              </w:tc>
              <w:tc>
                <w:tcPr>
                  <w:tcW w:type="dxa" w:w="36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共享属性</w:t>
                  </w:r>
                </w:p>
              </w:tc>
              <w:tc>
                <w:tcPr>
                  <w:tcW w:type="dxa" w:w="15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开放属性是否向社会开放</w:t>
                  </w:r>
                </w:p>
              </w:tc>
              <w:tc>
                <w:tcPr>
                  <w:tcW w:type="dxa" w:w="12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更新周期</w:t>
                  </w:r>
                </w:p>
              </w:tc>
            </w:tr>
            <w:tr>
              <w:tc>
                <w:tcPr>
                  <w:tcW w:type="dxa" w:w="86"/>
                  <w:vMerge/>
                  <w:tcBorders>
                    <w:top w:val="single" w:color="000000" w:sz="4"/>
                    <w:left w:val="single" w:color="000000" w:sz="4"/>
                    <w:bottom w:val="single" w:color="000000" w:sz="4"/>
                    <w:right w:val="single" w:color="000000" w:sz="4"/>
                  </w:tcBorders>
                </w:tcPr>
                <w:p/>
              </w:tc>
              <w:tc>
                <w:tcPr>
                  <w:tcW w:type="dxa" w:w="124"/>
                  <w:vMerge/>
                  <w:tcBorders>
                    <w:top w:val="single" w:color="000000" w:sz="4"/>
                    <w:left w:val="none" w:color="000000" w:sz="4"/>
                    <w:bottom w:val="single" w:color="000000" w:sz="4"/>
                    <w:right w:val="single" w:color="000000" w:sz="4"/>
                  </w:tcBorders>
                </w:tcPr>
                <w:p/>
              </w:tc>
              <w:tc>
                <w:tcPr>
                  <w:tcW w:type="dxa" w:w="153"/>
                  <w:vMerge/>
                  <w:tcBorders>
                    <w:top w:val="single" w:color="000000" w:sz="4"/>
                    <w:left w:val="none" w:color="000000" w:sz="4"/>
                    <w:bottom w:val="single" w:color="000000" w:sz="4"/>
                    <w:right w:val="single" w:color="000000" w:sz="4"/>
                  </w:tcBorders>
                </w:tcPr>
                <w:p/>
              </w:tc>
              <w:tc>
                <w:tcPr>
                  <w:tcW w:type="dxa" w:w="153"/>
                  <w:vMerge/>
                  <w:tcBorders>
                    <w:top w:val="single" w:color="000000" w:sz="4"/>
                    <w:left w:val="none" w:color="000000" w:sz="4"/>
                    <w:bottom w:val="single" w:color="000000" w:sz="4"/>
                    <w:right w:val="single" w:color="000000" w:sz="4"/>
                  </w:tcBorders>
                </w:tcPr>
                <w:p/>
              </w:tc>
              <w:tc>
                <w:tcPr>
                  <w:tcW w:type="dxa" w:w="405"/>
                  <w:vMerge/>
                  <w:tcBorders>
                    <w:top w:val="single" w:color="000000" w:sz="4"/>
                    <w:left w:val="none" w:color="000000" w:sz="4"/>
                    <w:bottom w:val="single" w:color="000000" w:sz="4"/>
                    <w:right w:val="single" w:color="000000" w:sz="4"/>
                  </w:tcBorders>
                </w:tcPr>
                <w:p/>
              </w:tc>
              <w:tc>
                <w:tcPr>
                  <w:tcW w:type="dxa" w:w="121"/>
                  <w:vMerge/>
                  <w:tcBorders>
                    <w:top w:val="single" w:color="000000" w:sz="4"/>
                    <w:left w:val="none" w:color="000000" w:sz="4"/>
                    <w:bottom w:val="single" w:color="000000" w:sz="4"/>
                    <w:right w:val="single" w:color="000000" w:sz="4"/>
                  </w:tcBorders>
                </w:tcPr>
                <w:p/>
              </w:tc>
              <w:tc>
                <w:tcPr>
                  <w:tcW w:type="dxa" w:w="126"/>
                  <w:vMerge/>
                  <w:tcBorders>
                    <w:top w:val="single" w:color="000000" w:sz="4"/>
                    <w:left w:val="none" w:color="000000" w:sz="4"/>
                    <w:bottom w:val="single" w:color="000000" w:sz="4"/>
                    <w:right w:val="single" w:color="000000" w:sz="4"/>
                  </w:tcBorders>
                </w:tcP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信息项名称</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数据类型</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共享类型</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共享条件</w:t>
                  </w:r>
                </w:p>
              </w:tc>
              <w:tc>
                <w:tcPr>
                  <w:tcW w:type="dxa" w:w="1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共享方式</w:t>
                  </w:r>
                </w:p>
              </w:tc>
              <w:tc>
                <w:tcPr>
                  <w:tcW w:type="dxa" w:w="151"/>
                  <w:vMerge/>
                  <w:tcBorders>
                    <w:top w:val="single" w:color="000000" w:sz="4"/>
                    <w:left w:val="none" w:color="000000" w:sz="4"/>
                    <w:bottom w:val="single" w:color="000000" w:sz="4"/>
                    <w:right w:val="single" w:color="000000" w:sz="4"/>
                  </w:tcBorders>
                </w:tcPr>
                <w:p/>
              </w:tc>
              <w:tc>
                <w:tcPr>
                  <w:tcW w:type="dxa" w:w="129"/>
                  <w:vMerge/>
                  <w:tcBorders>
                    <w:top w:val="single" w:color="000000" w:sz="4"/>
                    <w:left w:val="none" w:color="000000" w:sz="4"/>
                    <w:bottom w:val="single" w:color="000000" w:sz="4"/>
                    <w:right w:val="single" w:color="000000" w:sz="4"/>
                  </w:tcBorders>
                </w:tcP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手续信息</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项目手续信息</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省发改委</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12610000435200167E</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项目手续信息</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库表</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手续ID、中央代码、项目名称、项目登记时间、项目状态、立项类型、事项编码、事项名称、受理时间、承诺日期、办结时间、是否使用、申请人、申请时间、备注信息、删除标记等</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结构化</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有条件共享</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业务协同</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接口调用</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每日</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重点项目</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项目信息</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各地市发改委</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116101000133530597、</w:t>
                  </w:r>
                </w:p>
                <w:p>
                  <w:pPr>
                    <w:pStyle w:val="null3"/>
                    <w:jc w:val="both"/>
                  </w:pPr>
                  <w:r>
                    <w:rPr>
                      <w:rFonts w:ascii="仿宋_GB2312" w:hAnsi="仿宋_GB2312" w:cs="仿宋_GB2312" w:eastAsia="仿宋_GB2312"/>
                      <w:sz w:val="19"/>
                    </w:rPr>
                    <w:t>11610600016074338E、</w:t>
                  </w:r>
                </w:p>
                <w:p>
                  <w:pPr>
                    <w:pStyle w:val="null3"/>
                    <w:jc w:val="both"/>
                  </w:pPr>
                  <w:r>
                    <w:rPr>
                      <w:rFonts w:ascii="仿宋_GB2312" w:hAnsi="仿宋_GB2312" w:cs="仿宋_GB2312" w:eastAsia="仿宋_GB2312"/>
                      <w:sz w:val="19"/>
                    </w:rPr>
                    <w:t>11610200016001139M、</w:t>
                  </w:r>
                </w:p>
                <w:p>
                  <w:pPr>
                    <w:pStyle w:val="null3"/>
                    <w:jc w:val="both"/>
                  </w:pPr>
                  <w:r>
                    <w:rPr>
                      <w:rFonts w:ascii="仿宋_GB2312" w:hAnsi="仿宋_GB2312" w:cs="仿宋_GB2312" w:eastAsia="仿宋_GB2312"/>
                      <w:sz w:val="19"/>
                    </w:rPr>
                    <w:t>11611000016061190G、</w:t>
                  </w:r>
                </w:p>
                <w:p>
                  <w:pPr>
                    <w:pStyle w:val="null3"/>
                    <w:jc w:val="both"/>
                  </w:pPr>
                  <w:r>
                    <w:rPr>
                      <w:rFonts w:ascii="仿宋_GB2312" w:hAnsi="仿宋_GB2312" w:cs="仿宋_GB2312" w:eastAsia="仿宋_GB2312"/>
                      <w:sz w:val="19"/>
                    </w:rPr>
                    <w:t>116104000160133834、</w:t>
                  </w:r>
                </w:p>
                <w:p>
                  <w:pPr>
                    <w:pStyle w:val="null3"/>
                    <w:jc w:val="both"/>
                  </w:pPr>
                  <w:r>
                    <w:rPr>
                      <w:rFonts w:ascii="仿宋_GB2312" w:hAnsi="仿宋_GB2312" w:cs="仿宋_GB2312" w:eastAsia="仿宋_GB2312"/>
                      <w:sz w:val="19"/>
                    </w:rPr>
                    <w:t>116103000160048587、</w:t>
                  </w:r>
                </w:p>
                <w:p>
                  <w:pPr>
                    <w:pStyle w:val="null3"/>
                    <w:jc w:val="both"/>
                  </w:pPr>
                  <w:r>
                    <w:rPr>
                      <w:rFonts w:ascii="仿宋_GB2312" w:hAnsi="仿宋_GB2312" w:cs="仿宋_GB2312" w:eastAsia="仿宋_GB2312"/>
                      <w:sz w:val="19"/>
                    </w:rPr>
                    <w:t>11610900016048228W</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项目信息</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库表</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目ID、项目名称、建设年限起、建设年限止、责任单位、行业类别、重点项目申报指导目录、项目立项审批层级、项目代码、入统代码、实际开工时间、预计竣工时间、投产后年度释放产值、预计年度税收、预计带动就业岗位数、批复耗能、是否纳入年度计划建设项目计划、建设内容和规模、建设必要性、土地信息、资金筹措、投资主体、其他资料、前期手续等</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结构化</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有条件共享</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业务协同</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接口调用</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每日</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重点项目</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项目申报信息</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各地市发改委</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116101000133530597、</w:t>
                  </w:r>
                </w:p>
                <w:p>
                  <w:pPr>
                    <w:pStyle w:val="null3"/>
                    <w:jc w:val="both"/>
                  </w:pPr>
                  <w:r>
                    <w:rPr>
                      <w:rFonts w:ascii="仿宋_GB2312" w:hAnsi="仿宋_GB2312" w:cs="仿宋_GB2312" w:eastAsia="仿宋_GB2312"/>
                      <w:sz w:val="19"/>
                    </w:rPr>
                    <w:t>11610600016074338E、</w:t>
                  </w:r>
                </w:p>
                <w:p>
                  <w:pPr>
                    <w:pStyle w:val="null3"/>
                    <w:jc w:val="both"/>
                  </w:pPr>
                  <w:r>
                    <w:rPr>
                      <w:rFonts w:ascii="仿宋_GB2312" w:hAnsi="仿宋_GB2312" w:cs="仿宋_GB2312" w:eastAsia="仿宋_GB2312"/>
                      <w:sz w:val="19"/>
                    </w:rPr>
                    <w:t>11610200016001139M、</w:t>
                  </w:r>
                </w:p>
                <w:p>
                  <w:pPr>
                    <w:pStyle w:val="null3"/>
                    <w:jc w:val="both"/>
                  </w:pPr>
                  <w:r>
                    <w:rPr>
                      <w:rFonts w:ascii="仿宋_GB2312" w:hAnsi="仿宋_GB2312" w:cs="仿宋_GB2312" w:eastAsia="仿宋_GB2312"/>
                      <w:sz w:val="19"/>
                    </w:rPr>
                    <w:t>11611000016061190G、</w:t>
                  </w:r>
                </w:p>
                <w:p>
                  <w:pPr>
                    <w:pStyle w:val="null3"/>
                    <w:jc w:val="both"/>
                  </w:pPr>
                  <w:r>
                    <w:rPr>
                      <w:rFonts w:ascii="仿宋_GB2312" w:hAnsi="仿宋_GB2312" w:cs="仿宋_GB2312" w:eastAsia="仿宋_GB2312"/>
                      <w:sz w:val="19"/>
                    </w:rPr>
                    <w:t>116104000160133834、</w:t>
                  </w:r>
                </w:p>
                <w:p>
                  <w:pPr>
                    <w:pStyle w:val="null3"/>
                    <w:jc w:val="both"/>
                  </w:pPr>
                  <w:r>
                    <w:rPr>
                      <w:rFonts w:ascii="仿宋_GB2312" w:hAnsi="仿宋_GB2312" w:cs="仿宋_GB2312" w:eastAsia="仿宋_GB2312"/>
                      <w:sz w:val="19"/>
                    </w:rPr>
                    <w:t>116103000160048587、</w:t>
                  </w:r>
                </w:p>
                <w:p>
                  <w:pPr>
                    <w:pStyle w:val="null3"/>
                    <w:jc w:val="both"/>
                  </w:pPr>
                  <w:r>
                    <w:rPr>
                      <w:rFonts w:ascii="仿宋_GB2312" w:hAnsi="仿宋_GB2312" w:cs="仿宋_GB2312" w:eastAsia="仿宋_GB2312"/>
                      <w:sz w:val="19"/>
                    </w:rPr>
                    <w:t>11610900016048228W</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项目申报信息</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库表</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项目ID、项目名称、项目名称、建设年限起、建设年限止、责任单位、行业类别、重点项目申报指导目录、项目立项审批层级、项目代码、入统代码、前期手续等</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结构化</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有条件共享</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业务协同</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接口调用</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每日</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重点项目</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项目谋划信息</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各地市发改委</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116101000133530597、</w:t>
                  </w:r>
                </w:p>
                <w:p>
                  <w:pPr>
                    <w:pStyle w:val="null3"/>
                    <w:jc w:val="both"/>
                  </w:pPr>
                  <w:r>
                    <w:rPr>
                      <w:rFonts w:ascii="仿宋_GB2312" w:hAnsi="仿宋_GB2312" w:cs="仿宋_GB2312" w:eastAsia="仿宋_GB2312"/>
                      <w:sz w:val="19"/>
                    </w:rPr>
                    <w:t>11610600016074338E、</w:t>
                  </w:r>
                </w:p>
                <w:p>
                  <w:pPr>
                    <w:pStyle w:val="null3"/>
                    <w:jc w:val="both"/>
                  </w:pPr>
                  <w:r>
                    <w:rPr>
                      <w:rFonts w:ascii="仿宋_GB2312" w:hAnsi="仿宋_GB2312" w:cs="仿宋_GB2312" w:eastAsia="仿宋_GB2312"/>
                      <w:sz w:val="19"/>
                    </w:rPr>
                    <w:t>11610200016001139M、</w:t>
                  </w:r>
                </w:p>
                <w:p>
                  <w:pPr>
                    <w:pStyle w:val="null3"/>
                    <w:jc w:val="both"/>
                  </w:pPr>
                  <w:r>
                    <w:rPr>
                      <w:rFonts w:ascii="仿宋_GB2312" w:hAnsi="仿宋_GB2312" w:cs="仿宋_GB2312" w:eastAsia="仿宋_GB2312"/>
                      <w:sz w:val="19"/>
                    </w:rPr>
                    <w:t>11611000016061190G、</w:t>
                  </w:r>
                </w:p>
                <w:p>
                  <w:pPr>
                    <w:pStyle w:val="null3"/>
                    <w:jc w:val="both"/>
                  </w:pPr>
                  <w:r>
                    <w:rPr>
                      <w:rFonts w:ascii="仿宋_GB2312" w:hAnsi="仿宋_GB2312" w:cs="仿宋_GB2312" w:eastAsia="仿宋_GB2312"/>
                      <w:sz w:val="19"/>
                    </w:rPr>
                    <w:t>116104000160133834、</w:t>
                  </w:r>
                </w:p>
                <w:p>
                  <w:pPr>
                    <w:pStyle w:val="null3"/>
                    <w:jc w:val="both"/>
                  </w:pPr>
                  <w:r>
                    <w:rPr>
                      <w:rFonts w:ascii="仿宋_GB2312" w:hAnsi="仿宋_GB2312" w:cs="仿宋_GB2312" w:eastAsia="仿宋_GB2312"/>
                      <w:sz w:val="19"/>
                    </w:rPr>
                    <w:t>116103000160048587、</w:t>
                  </w:r>
                </w:p>
                <w:p>
                  <w:pPr>
                    <w:pStyle w:val="null3"/>
                    <w:jc w:val="both"/>
                  </w:pPr>
                  <w:r>
                    <w:rPr>
                      <w:rFonts w:ascii="仿宋_GB2312" w:hAnsi="仿宋_GB2312" w:cs="仿宋_GB2312" w:eastAsia="仿宋_GB2312"/>
                      <w:sz w:val="19"/>
                    </w:rPr>
                    <w:t>11610900016048228W</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项目谋划信息</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库表</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目ID、项目名称、建设年限起、建设年限止、责任单位、行业类别、重点项目申报指导目录、项目立项审批层级、项目代码、入统代码、实际开工时间、预计竣工时间、投产后年度释放产值、预计年度税收、预计带动就业岗位数、批复耗能、是否纳入年度计划建设项目计划、建设内容和规模、土地信息、建设单位名称、社会信用代码、建设单位类型、联系人、联系方式等</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结构化</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有条件共享</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业务协同</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接口调用</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每日</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重点项目</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项目储备信息</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各地市发改委</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116101000133530597、</w:t>
                  </w:r>
                </w:p>
                <w:p>
                  <w:pPr>
                    <w:pStyle w:val="null3"/>
                    <w:jc w:val="both"/>
                  </w:pPr>
                  <w:r>
                    <w:rPr>
                      <w:rFonts w:ascii="仿宋_GB2312" w:hAnsi="仿宋_GB2312" w:cs="仿宋_GB2312" w:eastAsia="仿宋_GB2312"/>
                      <w:sz w:val="19"/>
                    </w:rPr>
                    <w:t>11610600016074338E、</w:t>
                  </w:r>
                </w:p>
                <w:p>
                  <w:pPr>
                    <w:pStyle w:val="null3"/>
                    <w:jc w:val="both"/>
                  </w:pPr>
                  <w:r>
                    <w:rPr>
                      <w:rFonts w:ascii="仿宋_GB2312" w:hAnsi="仿宋_GB2312" w:cs="仿宋_GB2312" w:eastAsia="仿宋_GB2312"/>
                      <w:sz w:val="19"/>
                    </w:rPr>
                    <w:t>11610200016001139M、</w:t>
                  </w:r>
                </w:p>
                <w:p>
                  <w:pPr>
                    <w:pStyle w:val="null3"/>
                    <w:jc w:val="both"/>
                  </w:pPr>
                  <w:r>
                    <w:rPr>
                      <w:rFonts w:ascii="仿宋_GB2312" w:hAnsi="仿宋_GB2312" w:cs="仿宋_GB2312" w:eastAsia="仿宋_GB2312"/>
                      <w:sz w:val="19"/>
                    </w:rPr>
                    <w:t>11611000016061190G、</w:t>
                  </w:r>
                </w:p>
                <w:p>
                  <w:pPr>
                    <w:pStyle w:val="null3"/>
                    <w:jc w:val="both"/>
                  </w:pPr>
                  <w:r>
                    <w:rPr>
                      <w:rFonts w:ascii="仿宋_GB2312" w:hAnsi="仿宋_GB2312" w:cs="仿宋_GB2312" w:eastAsia="仿宋_GB2312"/>
                      <w:sz w:val="19"/>
                    </w:rPr>
                    <w:t>116104000160133834、</w:t>
                  </w:r>
                </w:p>
                <w:p>
                  <w:pPr>
                    <w:pStyle w:val="null3"/>
                    <w:jc w:val="both"/>
                  </w:pPr>
                  <w:r>
                    <w:rPr>
                      <w:rFonts w:ascii="仿宋_GB2312" w:hAnsi="仿宋_GB2312" w:cs="仿宋_GB2312" w:eastAsia="仿宋_GB2312"/>
                      <w:sz w:val="19"/>
                    </w:rPr>
                    <w:t>116103000160048587、</w:t>
                  </w:r>
                </w:p>
                <w:p>
                  <w:pPr>
                    <w:pStyle w:val="null3"/>
                    <w:jc w:val="both"/>
                  </w:pPr>
                  <w:r>
                    <w:rPr>
                      <w:rFonts w:ascii="仿宋_GB2312" w:hAnsi="仿宋_GB2312" w:cs="仿宋_GB2312" w:eastAsia="仿宋_GB2312"/>
                      <w:sz w:val="19"/>
                    </w:rPr>
                    <w:t>11610900016048228W</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项目储备信息</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库表</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目名称、项目建设年限起、建设年限止、责任单位、重点项目申报指导目录、项目立项审批层级、项目代码、计划开工时间、是否纳入年度计划建设项目计划、建设内容和规模、年工作目标、建设必要性、建设地点、详细建设地址、用地面积、地址坐标、投资类型、总投资、年度计划投资、资金筹措、是否涉及登记在册不可移动文物、是否两高项目、是否打捆项目、地下埋藏文物是否经过科学考古发掘保护、污染物排放量等</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结构化</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有条件共享</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业务协同</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接口调用</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每日</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重点项目</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项目开工信息</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各地市发改委</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116101000133530597、</w:t>
                  </w:r>
                </w:p>
                <w:p>
                  <w:pPr>
                    <w:pStyle w:val="null3"/>
                    <w:jc w:val="both"/>
                  </w:pPr>
                  <w:r>
                    <w:rPr>
                      <w:rFonts w:ascii="仿宋_GB2312" w:hAnsi="仿宋_GB2312" w:cs="仿宋_GB2312" w:eastAsia="仿宋_GB2312"/>
                      <w:sz w:val="19"/>
                    </w:rPr>
                    <w:t>11610600016074338E、</w:t>
                  </w:r>
                </w:p>
                <w:p>
                  <w:pPr>
                    <w:pStyle w:val="null3"/>
                    <w:jc w:val="both"/>
                  </w:pPr>
                  <w:r>
                    <w:rPr>
                      <w:rFonts w:ascii="仿宋_GB2312" w:hAnsi="仿宋_GB2312" w:cs="仿宋_GB2312" w:eastAsia="仿宋_GB2312"/>
                      <w:sz w:val="19"/>
                    </w:rPr>
                    <w:t>11610200016001139M、</w:t>
                  </w:r>
                </w:p>
                <w:p>
                  <w:pPr>
                    <w:pStyle w:val="null3"/>
                    <w:jc w:val="both"/>
                  </w:pPr>
                  <w:r>
                    <w:rPr>
                      <w:rFonts w:ascii="仿宋_GB2312" w:hAnsi="仿宋_GB2312" w:cs="仿宋_GB2312" w:eastAsia="仿宋_GB2312"/>
                      <w:sz w:val="19"/>
                    </w:rPr>
                    <w:t>11611000016061190G、</w:t>
                  </w:r>
                </w:p>
                <w:p>
                  <w:pPr>
                    <w:pStyle w:val="null3"/>
                    <w:jc w:val="both"/>
                  </w:pPr>
                  <w:r>
                    <w:rPr>
                      <w:rFonts w:ascii="仿宋_GB2312" w:hAnsi="仿宋_GB2312" w:cs="仿宋_GB2312" w:eastAsia="仿宋_GB2312"/>
                      <w:sz w:val="19"/>
                    </w:rPr>
                    <w:t>116104000160133834、</w:t>
                  </w:r>
                </w:p>
                <w:p>
                  <w:pPr>
                    <w:pStyle w:val="null3"/>
                    <w:jc w:val="both"/>
                  </w:pPr>
                  <w:r>
                    <w:rPr>
                      <w:rFonts w:ascii="仿宋_GB2312" w:hAnsi="仿宋_GB2312" w:cs="仿宋_GB2312" w:eastAsia="仿宋_GB2312"/>
                      <w:sz w:val="19"/>
                    </w:rPr>
                    <w:t>116103000160048587、</w:t>
                  </w:r>
                </w:p>
                <w:p>
                  <w:pPr>
                    <w:pStyle w:val="null3"/>
                    <w:jc w:val="both"/>
                  </w:pPr>
                  <w:r>
                    <w:rPr>
                      <w:rFonts w:ascii="仿宋_GB2312" w:hAnsi="仿宋_GB2312" w:cs="仿宋_GB2312" w:eastAsia="仿宋_GB2312"/>
                      <w:sz w:val="19"/>
                    </w:rPr>
                    <w:t>11610900016048228W</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项目开工信息</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库表</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目名称、项目建设年限起、建设年限止、责任单位、重点项目申报指导目录、项目立项审批层级、项目代码、计划开工时间、实际开工时间、预计竣工时间、投产后年度释放产值、预计年度税收、预计带动就业岗位数、批复耗能、是否纳入年度计划建设项目计划、建设内容和规模、建设必要性、截至去年底累计完成投资、年度计划投资、年计划分解等</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结构化</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有条件共享</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业务协同</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接口调用</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每日</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重点项目</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项目投产信息</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各地市发改委</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116101000133530597、</w:t>
                  </w:r>
                </w:p>
                <w:p>
                  <w:pPr>
                    <w:pStyle w:val="null3"/>
                    <w:jc w:val="both"/>
                  </w:pPr>
                  <w:r>
                    <w:rPr>
                      <w:rFonts w:ascii="仿宋_GB2312" w:hAnsi="仿宋_GB2312" w:cs="仿宋_GB2312" w:eastAsia="仿宋_GB2312"/>
                      <w:sz w:val="19"/>
                    </w:rPr>
                    <w:t>11610600016074338E、</w:t>
                  </w:r>
                </w:p>
                <w:p>
                  <w:pPr>
                    <w:pStyle w:val="null3"/>
                    <w:jc w:val="both"/>
                  </w:pPr>
                  <w:r>
                    <w:rPr>
                      <w:rFonts w:ascii="仿宋_GB2312" w:hAnsi="仿宋_GB2312" w:cs="仿宋_GB2312" w:eastAsia="仿宋_GB2312"/>
                      <w:sz w:val="19"/>
                    </w:rPr>
                    <w:t>11610200016001139M、</w:t>
                  </w:r>
                </w:p>
                <w:p>
                  <w:pPr>
                    <w:pStyle w:val="null3"/>
                    <w:jc w:val="both"/>
                  </w:pPr>
                  <w:r>
                    <w:rPr>
                      <w:rFonts w:ascii="仿宋_GB2312" w:hAnsi="仿宋_GB2312" w:cs="仿宋_GB2312" w:eastAsia="仿宋_GB2312"/>
                      <w:sz w:val="19"/>
                    </w:rPr>
                    <w:t>11611000016061190G、</w:t>
                  </w:r>
                </w:p>
                <w:p>
                  <w:pPr>
                    <w:pStyle w:val="null3"/>
                    <w:jc w:val="both"/>
                  </w:pPr>
                  <w:r>
                    <w:rPr>
                      <w:rFonts w:ascii="仿宋_GB2312" w:hAnsi="仿宋_GB2312" w:cs="仿宋_GB2312" w:eastAsia="仿宋_GB2312"/>
                      <w:sz w:val="19"/>
                    </w:rPr>
                    <w:t>116104000160133834、</w:t>
                  </w:r>
                </w:p>
                <w:p>
                  <w:pPr>
                    <w:pStyle w:val="null3"/>
                    <w:jc w:val="both"/>
                  </w:pPr>
                  <w:r>
                    <w:rPr>
                      <w:rFonts w:ascii="仿宋_GB2312" w:hAnsi="仿宋_GB2312" w:cs="仿宋_GB2312" w:eastAsia="仿宋_GB2312"/>
                      <w:sz w:val="19"/>
                    </w:rPr>
                    <w:t>116103000160048587、</w:t>
                  </w:r>
                </w:p>
                <w:p>
                  <w:pPr>
                    <w:pStyle w:val="null3"/>
                    <w:jc w:val="both"/>
                  </w:pPr>
                  <w:r>
                    <w:rPr>
                      <w:rFonts w:ascii="仿宋_GB2312" w:hAnsi="仿宋_GB2312" w:cs="仿宋_GB2312" w:eastAsia="仿宋_GB2312"/>
                      <w:sz w:val="19"/>
                    </w:rPr>
                    <w:t>11610900016048228W</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项目投产信息</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库表</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目名称、项目建设年限起、建设年限止、责任单位、截至去年底累计完成投资、年度计划投资、01月计划投资、02月计划投资、03月计划投资、04月计划投资、05月计划投资、06月计划投资、07月计划投资、08月计划投资、09月计划投资、10月计划投资、11月计划投资、12月计划投资等</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结构化</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有条件共享</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业务协同</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接口调用</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每日</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重点项目</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项目月度信息</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各地市发改委</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116101000133530597、</w:t>
                  </w:r>
                </w:p>
                <w:p>
                  <w:pPr>
                    <w:pStyle w:val="null3"/>
                    <w:jc w:val="both"/>
                  </w:pPr>
                  <w:r>
                    <w:rPr>
                      <w:rFonts w:ascii="仿宋_GB2312" w:hAnsi="仿宋_GB2312" w:cs="仿宋_GB2312" w:eastAsia="仿宋_GB2312"/>
                      <w:sz w:val="19"/>
                    </w:rPr>
                    <w:t>11610600016074338E、</w:t>
                  </w:r>
                </w:p>
                <w:p>
                  <w:pPr>
                    <w:pStyle w:val="null3"/>
                    <w:jc w:val="both"/>
                  </w:pPr>
                  <w:r>
                    <w:rPr>
                      <w:rFonts w:ascii="仿宋_GB2312" w:hAnsi="仿宋_GB2312" w:cs="仿宋_GB2312" w:eastAsia="仿宋_GB2312"/>
                      <w:sz w:val="19"/>
                    </w:rPr>
                    <w:t>11610200016001139M、</w:t>
                  </w:r>
                </w:p>
                <w:p>
                  <w:pPr>
                    <w:pStyle w:val="null3"/>
                    <w:jc w:val="both"/>
                  </w:pPr>
                  <w:r>
                    <w:rPr>
                      <w:rFonts w:ascii="仿宋_GB2312" w:hAnsi="仿宋_GB2312" w:cs="仿宋_GB2312" w:eastAsia="仿宋_GB2312"/>
                      <w:sz w:val="19"/>
                    </w:rPr>
                    <w:t>11611000016061190G、</w:t>
                  </w:r>
                </w:p>
                <w:p>
                  <w:pPr>
                    <w:pStyle w:val="null3"/>
                    <w:jc w:val="both"/>
                  </w:pPr>
                  <w:r>
                    <w:rPr>
                      <w:rFonts w:ascii="仿宋_GB2312" w:hAnsi="仿宋_GB2312" w:cs="仿宋_GB2312" w:eastAsia="仿宋_GB2312"/>
                      <w:sz w:val="19"/>
                    </w:rPr>
                    <w:t>116104000160133834、</w:t>
                  </w:r>
                </w:p>
                <w:p>
                  <w:pPr>
                    <w:pStyle w:val="null3"/>
                    <w:jc w:val="both"/>
                  </w:pPr>
                  <w:r>
                    <w:rPr>
                      <w:rFonts w:ascii="仿宋_GB2312" w:hAnsi="仿宋_GB2312" w:cs="仿宋_GB2312" w:eastAsia="仿宋_GB2312"/>
                      <w:sz w:val="19"/>
                    </w:rPr>
                    <w:t>116103000160048587、</w:t>
                  </w:r>
                </w:p>
                <w:p>
                  <w:pPr>
                    <w:pStyle w:val="null3"/>
                    <w:jc w:val="both"/>
                  </w:pPr>
                  <w:r>
                    <w:rPr>
                      <w:rFonts w:ascii="仿宋_GB2312" w:hAnsi="仿宋_GB2312" w:cs="仿宋_GB2312" w:eastAsia="仿宋_GB2312"/>
                      <w:sz w:val="19"/>
                    </w:rPr>
                    <w:t>11610900016048228W</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项目月度信息</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库表</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填报月度、</w:t>
                  </w:r>
                </w:p>
                <w:p>
                  <w:pPr>
                    <w:pStyle w:val="null3"/>
                    <w:jc w:val="both"/>
                  </w:pPr>
                  <w:r>
                    <w:rPr>
                      <w:rFonts w:ascii="仿宋_GB2312" w:hAnsi="仿宋_GB2312" w:cs="仿宋_GB2312" w:eastAsia="仿宋_GB2312"/>
                      <w:sz w:val="19"/>
                    </w:rPr>
                    <w:t>累计完成投资、</w:t>
                  </w:r>
                </w:p>
                <w:p>
                  <w:pPr>
                    <w:pStyle w:val="null3"/>
                    <w:jc w:val="both"/>
                  </w:pPr>
                  <w:r>
                    <w:rPr>
                      <w:rFonts w:ascii="仿宋_GB2312" w:hAnsi="仿宋_GB2312" w:cs="仿宋_GB2312" w:eastAsia="仿宋_GB2312"/>
                      <w:sz w:val="19"/>
                    </w:rPr>
                    <w:t>本月计划投资、</w:t>
                  </w:r>
                </w:p>
                <w:p>
                  <w:pPr>
                    <w:pStyle w:val="null3"/>
                    <w:jc w:val="both"/>
                  </w:pPr>
                  <w:r>
                    <w:rPr>
                      <w:rFonts w:ascii="仿宋_GB2312" w:hAnsi="仿宋_GB2312" w:cs="仿宋_GB2312" w:eastAsia="仿宋_GB2312"/>
                      <w:sz w:val="19"/>
                    </w:rPr>
                    <w:t>本月完成投资、</w:t>
                  </w:r>
                </w:p>
                <w:p>
                  <w:pPr>
                    <w:pStyle w:val="null3"/>
                    <w:jc w:val="both"/>
                  </w:pPr>
                  <w:r>
                    <w:rPr>
                      <w:rFonts w:ascii="仿宋_GB2312" w:hAnsi="仿宋_GB2312" w:cs="仿宋_GB2312" w:eastAsia="仿宋_GB2312"/>
                      <w:sz w:val="19"/>
                    </w:rPr>
                    <w:t>年度计划投资、</w:t>
                  </w:r>
                </w:p>
                <w:p>
                  <w:pPr>
                    <w:pStyle w:val="null3"/>
                    <w:jc w:val="both"/>
                  </w:pPr>
                  <w:r>
                    <w:rPr>
                      <w:rFonts w:ascii="仿宋_GB2312" w:hAnsi="仿宋_GB2312" w:cs="仿宋_GB2312" w:eastAsia="仿宋_GB2312"/>
                      <w:sz w:val="19"/>
                    </w:rPr>
                    <w:t>总投资、</w:t>
                  </w:r>
                </w:p>
                <w:p>
                  <w:pPr>
                    <w:pStyle w:val="null3"/>
                    <w:jc w:val="both"/>
                  </w:pPr>
                  <w:r>
                    <w:rPr>
                      <w:rFonts w:ascii="仿宋_GB2312" w:hAnsi="仿宋_GB2312" w:cs="仿宋_GB2312" w:eastAsia="仿宋_GB2312"/>
                      <w:sz w:val="19"/>
                    </w:rPr>
                    <w:t>截至去年底累计完成投资、</w:t>
                  </w:r>
                </w:p>
                <w:p>
                  <w:pPr>
                    <w:pStyle w:val="null3"/>
                    <w:jc w:val="both"/>
                  </w:pPr>
                  <w:r>
                    <w:rPr>
                      <w:rFonts w:ascii="仿宋_GB2312" w:hAnsi="仿宋_GB2312" w:cs="仿宋_GB2312" w:eastAsia="仿宋_GB2312"/>
                      <w:sz w:val="19"/>
                    </w:rPr>
                    <w:t>年度投资完成率、</w:t>
                  </w:r>
                </w:p>
                <w:p>
                  <w:pPr>
                    <w:pStyle w:val="null3"/>
                    <w:jc w:val="both"/>
                  </w:pPr>
                  <w:r>
                    <w:rPr>
                      <w:rFonts w:ascii="仿宋_GB2312" w:hAnsi="仿宋_GB2312" w:cs="仿宋_GB2312" w:eastAsia="仿宋_GB2312"/>
                      <w:sz w:val="19"/>
                    </w:rPr>
                    <w:t>当月完成工程量、</w:t>
                  </w:r>
                </w:p>
                <w:p>
                  <w:pPr>
                    <w:pStyle w:val="null3"/>
                    <w:jc w:val="both"/>
                  </w:pPr>
                  <w:r>
                    <w:rPr>
                      <w:rFonts w:ascii="仿宋_GB2312" w:hAnsi="仿宋_GB2312" w:cs="仿宋_GB2312" w:eastAsia="仿宋_GB2312"/>
                      <w:sz w:val="19"/>
                    </w:rPr>
                    <w:t>截止到月末形象进度等</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结构化</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有条件共享</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业务协同</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接口调用</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每日</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9</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重点项目</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项目手续信息</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各地市发改委</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116101000133530597、</w:t>
                  </w:r>
                </w:p>
                <w:p>
                  <w:pPr>
                    <w:pStyle w:val="null3"/>
                    <w:jc w:val="both"/>
                  </w:pPr>
                  <w:r>
                    <w:rPr>
                      <w:rFonts w:ascii="仿宋_GB2312" w:hAnsi="仿宋_GB2312" w:cs="仿宋_GB2312" w:eastAsia="仿宋_GB2312"/>
                      <w:sz w:val="19"/>
                    </w:rPr>
                    <w:t>11610600016074338E、</w:t>
                  </w:r>
                </w:p>
                <w:p>
                  <w:pPr>
                    <w:pStyle w:val="null3"/>
                    <w:jc w:val="both"/>
                  </w:pPr>
                  <w:r>
                    <w:rPr>
                      <w:rFonts w:ascii="仿宋_GB2312" w:hAnsi="仿宋_GB2312" w:cs="仿宋_GB2312" w:eastAsia="仿宋_GB2312"/>
                      <w:sz w:val="19"/>
                    </w:rPr>
                    <w:t>11610200016001139M、</w:t>
                  </w:r>
                </w:p>
                <w:p>
                  <w:pPr>
                    <w:pStyle w:val="null3"/>
                    <w:jc w:val="both"/>
                  </w:pPr>
                  <w:r>
                    <w:rPr>
                      <w:rFonts w:ascii="仿宋_GB2312" w:hAnsi="仿宋_GB2312" w:cs="仿宋_GB2312" w:eastAsia="仿宋_GB2312"/>
                      <w:sz w:val="19"/>
                    </w:rPr>
                    <w:t>11611000016061190G、</w:t>
                  </w:r>
                </w:p>
                <w:p>
                  <w:pPr>
                    <w:pStyle w:val="null3"/>
                    <w:jc w:val="both"/>
                  </w:pPr>
                  <w:r>
                    <w:rPr>
                      <w:rFonts w:ascii="仿宋_GB2312" w:hAnsi="仿宋_GB2312" w:cs="仿宋_GB2312" w:eastAsia="仿宋_GB2312"/>
                      <w:sz w:val="19"/>
                    </w:rPr>
                    <w:t>116104000160133834、</w:t>
                  </w:r>
                </w:p>
                <w:p>
                  <w:pPr>
                    <w:pStyle w:val="null3"/>
                    <w:jc w:val="both"/>
                  </w:pPr>
                  <w:r>
                    <w:rPr>
                      <w:rFonts w:ascii="仿宋_GB2312" w:hAnsi="仿宋_GB2312" w:cs="仿宋_GB2312" w:eastAsia="仿宋_GB2312"/>
                      <w:sz w:val="19"/>
                    </w:rPr>
                    <w:t>116103000160048587、</w:t>
                  </w:r>
                </w:p>
                <w:p>
                  <w:pPr>
                    <w:pStyle w:val="null3"/>
                    <w:jc w:val="both"/>
                  </w:pPr>
                  <w:r>
                    <w:rPr>
                      <w:rFonts w:ascii="仿宋_GB2312" w:hAnsi="仿宋_GB2312" w:cs="仿宋_GB2312" w:eastAsia="仿宋_GB2312"/>
                      <w:sz w:val="19"/>
                    </w:rPr>
                    <w:t>11610900016048228W</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项目手续信息</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库表</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主键ID、项目ID、审批分类、审批编号、文号、文件名称、预计批复时间、文件名称、文件路径、办理状态、未办理原因、无需办理原因、涉及国家单位、涉及省级单位、涉及市级单位、涉及区级单位、申报时间、批复时间、附表关联ID、创建人、创建时间、修改人、修改时间、顶级审核操作、土地批复等</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结构化</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有条件共享</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业务协同</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接口调用</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每日</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重点项目</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项目附件信息</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各地市发改委</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116101000133530597、</w:t>
                  </w:r>
                </w:p>
                <w:p>
                  <w:pPr>
                    <w:pStyle w:val="null3"/>
                    <w:jc w:val="both"/>
                  </w:pPr>
                  <w:r>
                    <w:rPr>
                      <w:rFonts w:ascii="仿宋_GB2312" w:hAnsi="仿宋_GB2312" w:cs="仿宋_GB2312" w:eastAsia="仿宋_GB2312"/>
                      <w:sz w:val="19"/>
                    </w:rPr>
                    <w:t>11610600016074338E、</w:t>
                  </w:r>
                </w:p>
                <w:p>
                  <w:pPr>
                    <w:pStyle w:val="null3"/>
                    <w:jc w:val="both"/>
                  </w:pPr>
                  <w:r>
                    <w:rPr>
                      <w:rFonts w:ascii="仿宋_GB2312" w:hAnsi="仿宋_GB2312" w:cs="仿宋_GB2312" w:eastAsia="仿宋_GB2312"/>
                      <w:sz w:val="19"/>
                    </w:rPr>
                    <w:t>11610200016001139M、</w:t>
                  </w:r>
                </w:p>
                <w:p>
                  <w:pPr>
                    <w:pStyle w:val="null3"/>
                    <w:jc w:val="both"/>
                  </w:pPr>
                  <w:r>
                    <w:rPr>
                      <w:rFonts w:ascii="仿宋_GB2312" w:hAnsi="仿宋_GB2312" w:cs="仿宋_GB2312" w:eastAsia="仿宋_GB2312"/>
                      <w:sz w:val="19"/>
                    </w:rPr>
                    <w:t>11611000016061190G、</w:t>
                  </w:r>
                </w:p>
                <w:p>
                  <w:pPr>
                    <w:pStyle w:val="null3"/>
                    <w:jc w:val="both"/>
                  </w:pPr>
                  <w:r>
                    <w:rPr>
                      <w:rFonts w:ascii="仿宋_GB2312" w:hAnsi="仿宋_GB2312" w:cs="仿宋_GB2312" w:eastAsia="仿宋_GB2312"/>
                      <w:sz w:val="19"/>
                    </w:rPr>
                    <w:t>116104000160133834、</w:t>
                  </w:r>
                </w:p>
                <w:p>
                  <w:pPr>
                    <w:pStyle w:val="null3"/>
                    <w:jc w:val="both"/>
                  </w:pPr>
                  <w:r>
                    <w:rPr>
                      <w:rFonts w:ascii="仿宋_GB2312" w:hAnsi="仿宋_GB2312" w:cs="仿宋_GB2312" w:eastAsia="仿宋_GB2312"/>
                      <w:sz w:val="19"/>
                    </w:rPr>
                    <w:t>116103000160048587、</w:t>
                  </w:r>
                </w:p>
                <w:p>
                  <w:pPr>
                    <w:pStyle w:val="null3"/>
                    <w:jc w:val="both"/>
                  </w:pPr>
                  <w:r>
                    <w:rPr>
                      <w:rFonts w:ascii="仿宋_GB2312" w:hAnsi="仿宋_GB2312" w:cs="仿宋_GB2312" w:eastAsia="仿宋_GB2312"/>
                      <w:sz w:val="19"/>
                    </w:rPr>
                    <w:t>11610900016048228W</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项目附件信息</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库表</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主键ID、</w:t>
                  </w:r>
                </w:p>
                <w:p>
                  <w:pPr>
                    <w:pStyle w:val="null3"/>
                    <w:jc w:val="both"/>
                  </w:pPr>
                  <w:r>
                    <w:rPr>
                      <w:rFonts w:ascii="仿宋_GB2312" w:hAnsi="仿宋_GB2312" w:cs="仿宋_GB2312" w:eastAsia="仿宋_GB2312"/>
                      <w:sz w:val="19"/>
                    </w:rPr>
                    <w:t>附件关联外键、</w:t>
                  </w:r>
                </w:p>
                <w:p>
                  <w:pPr>
                    <w:pStyle w:val="null3"/>
                    <w:jc w:val="both"/>
                  </w:pPr>
                  <w:r>
                    <w:rPr>
                      <w:rFonts w:ascii="仿宋_GB2312" w:hAnsi="仿宋_GB2312" w:cs="仿宋_GB2312" w:eastAsia="仿宋_GB2312"/>
                      <w:sz w:val="19"/>
                    </w:rPr>
                    <w:t>附件名称、</w:t>
                  </w:r>
                </w:p>
                <w:p>
                  <w:pPr>
                    <w:pStyle w:val="null3"/>
                    <w:jc w:val="both"/>
                  </w:pPr>
                  <w:r>
                    <w:rPr>
                      <w:rFonts w:ascii="仿宋_GB2312" w:hAnsi="仿宋_GB2312" w:cs="仿宋_GB2312" w:eastAsia="仿宋_GB2312"/>
                      <w:sz w:val="19"/>
                    </w:rPr>
                    <w:t>附件类型、</w:t>
                  </w:r>
                </w:p>
                <w:p>
                  <w:pPr>
                    <w:pStyle w:val="null3"/>
                    <w:jc w:val="both"/>
                  </w:pPr>
                  <w:r>
                    <w:rPr>
                      <w:rFonts w:ascii="仿宋_GB2312" w:hAnsi="仿宋_GB2312" w:cs="仿宋_GB2312" w:eastAsia="仿宋_GB2312"/>
                      <w:sz w:val="19"/>
                    </w:rPr>
                    <w:t>附件存储相对路径、</w:t>
                  </w:r>
                </w:p>
                <w:p>
                  <w:pPr>
                    <w:pStyle w:val="null3"/>
                    <w:jc w:val="both"/>
                  </w:pPr>
                  <w:r>
                    <w:rPr>
                      <w:rFonts w:ascii="仿宋_GB2312" w:hAnsi="仿宋_GB2312" w:cs="仿宋_GB2312" w:eastAsia="仿宋_GB2312"/>
                      <w:sz w:val="19"/>
                    </w:rPr>
                    <w:t>附件存储绝对路径、</w:t>
                  </w:r>
                </w:p>
                <w:p>
                  <w:pPr>
                    <w:pStyle w:val="null3"/>
                    <w:jc w:val="both"/>
                  </w:pPr>
                  <w:r>
                    <w:rPr>
                      <w:rFonts w:ascii="仿宋_GB2312" w:hAnsi="仿宋_GB2312" w:cs="仿宋_GB2312" w:eastAsia="仿宋_GB2312"/>
                      <w:sz w:val="19"/>
                    </w:rPr>
                    <w:t>新文件路径、</w:t>
                  </w:r>
                </w:p>
                <w:p>
                  <w:pPr>
                    <w:pStyle w:val="null3"/>
                    <w:jc w:val="both"/>
                  </w:pPr>
                  <w:r>
                    <w:rPr>
                      <w:rFonts w:ascii="仿宋_GB2312" w:hAnsi="仿宋_GB2312" w:cs="仿宋_GB2312" w:eastAsia="仿宋_GB2312"/>
                      <w:sz w:val="19"/>
                    </w:rPr>
                    <w:t>附件上传成功失败标识状态、</w:t>
                  </w:r>
                </w:p>
                <w:p>
                  <w:pPr>
                    <w:pStyle w:val="null3"/>
                    <w:jc w:val="both"/>
                  </w:pPr>
                  <w:r>
                    <w:rPr>
                      <w:rFonts w:ascii="仿宋_GB2312" w:hAnsi="仿宋_GB2312" w:cs="仿宋_GB2312" w:eastAsia="仿宋_GB2312"/>
                      <w:sz w:val="19"/>
                    </w:rPr>
                    <w:t>创建时间、创建人员等</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结构化</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有条件共享</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业务协同</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接口调用</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每日</w:t>
                  </w:r>
                </w:p>
              </w:tc>
            </w:tr>
          </w:tbl>
          <w:p>
            <w:pPr>
              <w:pStyle w:val="null3"/>
            </w:pP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rPr>
              <w:t>信创终端适配要求：</w:t>
            </w:r>
          </w:p>
          <w:p>
            <w:pPr>
              <w:pStyle w:val="null3"/>
              <w:spacing w:before="120" w:after="120"/>
              <w:jc w:val="left"/>
              <w:outlineLvl w:val="2"/>
            </w:pPr>
            <w:r>
              <w:rPr>
                <w:rFonts w:ascii="仿宋_GB2312" w:hAnsi="仿宋_GB2312" w:cs="仿宋_GB2312" w:eastAsia="仿宋_GB2312"/>
                <w:sz w:val="28"/>
                <w:b/>
              </w:rPr>
              <w:t>（1）信创终端适配内容</w:t>
            </w:r>
          </w:p>
          <w:p>
            <w:pPr>
              <w:pStyle w:val="null3"/>
              <w:ind w:firstLine="480"/>
              <w:jc w:val="both"/>
            </w:pPr>
            <w:r>
              <w:rPr>
                <w:rFonts w:ascii="仿宋_GB2312" w:hAnsi="仿宋_GB2312" w:cs="仿宋_GB2312" w:eastAsia="仿宋_GB2312"/>
              </w:rPr>
              <w:t>1.适配国产浏览器</w:t>
            </w:r>
          </w:p>
          <w:p>
            <w:pPr>
              <w:pStyle w:val="null3"/>
              <w:ind w:firstLine="480"/>
              <w:jc w:val="both"/>
            </w:pPr>
            <w:r>
              <w:rPr>
                <w:rFonts w:ascii="仿宋_GB2312" w:hAnsi="仿宋_GB2312" w:cs="仿宋_GB2312" w:eastAsia="仿宋_GB2312"/>
              </w:rPr>
              <w:t>适配火狐、360、奇安信以及市场主流浏览器，对css、js、html进行兼容性适配，进行完整功能、性能测试。</w:t>
            </w:r>
          </w:p>
          <w:p>
            <w:pPr>
              <w:pStyle w:val="null3"/>
              <w:ind w:firstLine="480"/>
              <w:jc w:val="both"/>
            </w:pPr>
            <w:r>
              <w:rPr>
                <w:rFonts w:ascii="仿宋_GB2312" w:hAnsi="仿宋_GB2312" w:cs="仿宋_GB2312" w:eastAsia="仿宋_GB2312"/>
              </w:rPr>
              <w:t>2.适配国产操作系统</w:t>
            </w:r>
          </w:p>
          <w:p>
            <w:pPr>
              <w:pStyle w:val="null3"/>
              <w:ind w:firstLine="480"/>
              <w:jc w:val="both"/>
            </w:pPr>
            <w:r>
              <w:rPr>
                <w:rFonts w:ascii="仿宋_GB2312" w:hAnsi="仿宋_GB2312" w:cs="仿宋_GB2312" w:eastAsia="仿宋_GB2312"/>
              </w:rPr>
              <w:t>适配银河麒麟、统信UOS、深度科技、普华软件等操作系统，实现分别打包一键安装助手，该助手封装了用于支持正文编辑、在线ofd浏览、转换组件的一键安装程序，可以大大降低用户客户端环境的配置难度。</w:t>
            </w:r>
          </w:p>
          <w:p>
            <w:pPr>
              <w:pStyle w:val="null3"/>
              <w:spacing w:before="120" w:after="120"/>
              <w:jc w:val="left"/>
              <w:outlineLvl w:val="2"/>
            </w:pPr>
            <w:r>
              <w:rPr>
                <w:rFonts w:ascii="仿宋_GB2312" w:hAnsi="仿宋_GB2312" w:cs="仿宋_GB2312" w:eastAsia="仿宋_GB2312"/>
                <w:sz w:val="28"/>
                <w:b/>
              </w:rPr>
              <w:t>（2）信创服务器端适配内容</w:t>
            </w:r>
          </w:p>
          <w:p>
            <w:pPr>
              <w:pStyle w:val="null3"/>
              <w:ind w:firstLine="480"/>
              <w:jc w:val="both"/>
            </w:pPr>
            <w:r>
              <w:rPr>
                <w:rFonts w:ascii="仿宋_GB2312" w:hAnsi="仿宋_GB2312" w:cs="仿宋_GB2312" w:eastAsia="仿宋_GB2312"/>
              </w:rPr>
              <w:t>1.适配国产操作系统</w:t>
            </w:r>
          </w:p>
          <w:p>
            <w:pPr>
              <w:pStyle w:val="null3"/>
              <w:ind w:firstLine="480"/>
              <w:jc w:val="both"/>
            </w:pPr>
            <w:r>
              <w:rPr>
                <w:rFonts w:ascii="仿宋_GB2312" w:hAnsi="仿宋_GB2312" w:cs="仿宋_GB2312" w:eastAsia="仿宋_GB2312"/>
              </w:rPr>
              <w:t>适配银河麒麟、统信UOS、深度科技、普华软件等国产操作系统服务器环境。</w:t>
            </w:r>
          </w:p>
          <w:p>
            <w:pPr>
              <w:pStyle w:val="null3"/>
              <w:ind w:firstLine="480"/>
              <w:jc w:val="both"/>
            </w:pPr>
            <w:r>
              <w:rPr>
                <w:rFonts w:ascii="仿宋_GB2312" w:hAnsi="仿宋_GB2312" w:cs="仿宋_GB2312" w:eastAsia="仿宋_GB2312"/>
              </w:rPr>
              <w:t>2.适配国产CPU</w:t>
            </w:r>
          </w:p>
          <w:p>
            <w:pPr>
              <w:pStyle w:val="null3"/>
              <w:ind w:firstLine="480"/>
              <w:jc w:val="both"/>
            </w:pPr>
            <w:r>
              <w:rPr>
                <w:rFonts w:ascii="仿宋_GB2312" w:hAnsi="仿宋_GB2312" w:cs="仿宋_GB2312" w:eastAsia="仿宋_GB2312"/>
              </w:rPr>
              <w:t>适配飞腾、鲲鹏、申威、龙芯、兆芯、海光等主流国产芯片服务器环境。</w:t>
            </w:r>
          </w:p>
          <w:p>
            <w:pPr>
              <w:pStyle w:val="null3"/>
              <w:ind w:firstLine="480"/>
              <w:jc w:val="both"/>
            </w:pPr>
            <w:r>
              <w:rPr>
                <w:rFonts w:ascii="仿宋_GB2312" w:hAnsi="仿宋_GB2312" w:cs="仿宋_GB2312" w:eastAsia="仿宋_GB2312"/>
              </w:rPr>
              <w:t>3.适配国产数据库</w:t>
            </w:r>
          </w:p>
          <w:p>
            <w:pPr>
              <w:pStyle w:val="null3"/>
              <w:ind w:firstLine="480"/>
              <w:jc w:val="both"/>
            </w:pPr>
            <w:r>
              <w:rPr>
                <w:rFonts w:ascii="仿宋_GB2312" w:hAnsi="仿宋_GB2312" w:cs="仿宋_GB2312" w:eastAsia="仿宋_GB2312"/>
              </w:rPr>
              <w:t>产品适配达梦、人大金仓、海量、神通、南大通用等主流国产数据库结构初始化（数据表、存储过程、序列、触发器）。</w:t>
            </w:r>
          </w:p>
          <w:p>
            <w:pPr>
              <w:pStyle w:val="null3"/>
              <w:ind w:firstLine="480"/>
              <w:jc w:val="both"/>
            </w:pPr>
            <w:r>
              <w:rPr>
                <w:rFonts w:ascii="仿宋_GB2312" w:hAnsi="仿宋_GB2312" w:cs="仿宋_GB2312" w:eastAsia="仿宋_GB2312"/>
              </w:rPr>
              <w:t>产品各功能模块适配国产数据库访问适配。</w:t>
            </w:r>
          </w:p>
          <w:p>
            <w:pPr>
              <w:pStyle w:val="null3"/>
              <w:ind w:firstLine="480"/>
              <w:jc w:val="both"/>
            </w:pPr>
            <w:r>
              <w:rPr>
                <w:rFonts w:ascii="仿宋_GB2312" w:hAnsi="仿宋_GB2312" w:cs="仿宋_GB2312" w:eastAsia="仿宋_GB2312"/>
              </w:rPr>
              <w:t>4.适配国产中间件</w:t>
            </w:r>
          </w:p>
          <w:p>
            <w:pPr>
              <w:pStyle w:val="null3"/>
              <w:ind w:firstLine="480"/>
              <w:jc w:val="both"/>
            </w:pPr>
            <w:r>
              <w:rPr>
                <w:rFonts w:ascii="仿宋_GB2312" w:hAnsi="仿宋_GB2312" w:cs="仿宋_GB2312" w:eastAsia="仿宋_GB2312"/>
              </w:rPr>
              <w:t>系统实现东方通、金蝶、宝兰德、长城等主流国产中间件的适配工作，主要包括：应用中间件、负载均衡、缓存、存储服务。</w:t>
            </w:r>
          </w:p>
          <w:p>
            <w:pPr>
              <w:pStyle w:val="null3"/>
              <w:ind w:firstLine="480"/>
              <w:jc w:val="both"/>
            </w:pPr>
            <w:r>
              <w:rPr>
                <w:rFonts w:ascii="仿宋_GB2312" w:hAnsi="仿宋_GB2312" w:cs="仿宋_GB2312" w:eastAsia="仿宋_GB2312"/>
              </w:rPr>
              <w:t>适配列表7-12所示。</w:t>
            </w:r>
          </w:p>
          <w:p>
            <w:pPr>
              <w:pStyle w:val="null3"/>
              <w:jc w:val="center"/>
            </w:pPr>
            <w:r>
              <w:rPr>
                <w:rFonts w:ascii="仿宋_GB2312" w:hAnsi="仿宋_GB2312" w:cs="仿宋_GB2312" w:eastAsia="仿宋_GB2312"/>
              </w:rPr>
              <w:t>表</w:t>
            </w:r>
            <w:r>
              <w:rPr>
                <w:rFonts w:ascii="仿宋_GB2312" w:hAnsi="仿宋_GB2312" w:cs="仿宋_GB2312" w:eastAsia="仿宋_GB2312"/>
              </w:rPr>
              <w:t xml:space="preserve">7-12 </w:t>
            </w:r>
            <w:r>
              <w:rPr>
                <w:rFonts w:ascii="仿宋_GB2312" w:hAnsi="仿宋_GB2312" w:cs="仿宋_GB2312" w:eastAsia="仿宋_GB2312"/>
              </w:rPr>
              <w:t>适配列表</w:t>
            </w:r>
          </w:p>
          <w:tbl>
            <w:tblPr>
              <w:tblInd w:type="dxa" w:w="120"/>
              <w:tblBorders>
                <w:top w:val="none" w:color="000000" w:sz="4"/>
                <w:left w:val="none" w:color="000000" w:sz="4"/>
                <w:bottom w:val="none" w:color="000000" w:sz="4"/>
                <w:right w:val="none" w:color="000000" w:sz="4"/>
                <w:insideH w:val="none"/>
                <w:insideV w:val="none"/>
              </w:tblBorders>
            </w:tblPr>
            <w:tblGrid>
              <w:gridCol w:w="561"/>
              <w:gridCol w:w="597"/>
              <w:gridCol w:w="1394"/>
            </w:tblGrid>
            <w:tr>
              <w:tc>
                <w:tcPr>
                  <w:tcW w:type="dxa" w:w="5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适配兼容分类</w:t>
                  </w:r>
                </w:p>
              </w:tc>
              <w:tc>
                <w:tcPr>
                  <w:tcW w:type="dxa" w:w="5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适配兼容产品</w:t>
                  </w:r>
                </w:p>
              </w:tc>
              <w:tc>
                <w:tcPr>
                  <w:tcW w:type="dxa" w:w="13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产品兼容厂商</w:t>
                  </w:r>
                </w:p>
              </w:tc>
            </w:tr>
            <w:tr>
              <w:tc>
                <w:tcPr>
                  <w:tcW w:type="dxa" w:w="5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IT基础设施</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CPU（ARM）</w:t>
                  </w:r>
                </w:p>
              </w:tc>
              <w:tc>
                <w:tcPr>
                  <w:tcW w:type="dxa" w:w="1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飞腾、鲲鹏</w:t>
                  </w:r>
                </w:p>
              </w:tc>
            </w:tr>
            <w:tr>
              <w:tc>
                <w:tcPr>
                  <w:tcW w:type="dxa" w:w="561"/>
                  <w:vMerge/>
                  <w:tcBorders>
                    <w:top w:val="none" w:color="000000" w:sz="4"/>
                    <w:left w:val="single" w:color="000000" w:sz="4"/>
                    <w:bottom w:val="single" w:color="000000" w:sz="4"/>
                    <w:right w:val="single" w:color="000000" w:sz="4"/>
                  </w:tcBorders>
                </w:tcP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CPU（Alpha）</w:t>
                  </w:r>
                </w:p>
              </w:tc>
              <w:tc>
                <w:tcPr>
                  <w:tcW w:type="dxa" w:w="1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申威</w:t>
                  </w:r>
                </w:p>
              </w:tc>
            </w:tr>
            <w:tr>
              <w:tc>
                <w:tcPr>
                  <w:tcW w:type="dxa" w:w="561"/>
                  <w:vMerge/>
                  <w:tcBorders>
                    <w:top w:val="none" w:color="000000" w:sz="4"/>
                    <w:left w:val="single" w:color="000000" w:sz="4"/>
                    <w:bottom w:val="single" w:color="000000" w:sz="4"/>
                    <w:right w:val="single" w:color="000000" w:sz="4"/>
                  </w:tcBorders>
                </w:tcP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CPU（MIPS）</w:t>
                  </w:r>
                </w:p>
              </w:tc>
              <w:tc>
                <w:tcPr>
                  <w:tcW w:type="dxa" w:w="1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龙芯</w:t>
                  </w:r>
                </w:p>
              </w:tc>
            </w:tr>
            <w:tr>
              <w:tc>
                <w:tcPr>
                  <w:tcW w:type="dxa" w:w="561"/>
                  <w:vMerge/>
                  <w:tcBorders>
                    <w:top w:val="none" w:color="000000" w:sz="4"/>
                    <w:left w:val="single" w:color="000000" w:sz="4"/>
                    <w:bottom w:val="single" w:color="000000" w:sz="4"/>
                    <w:right w:val="single" w:color="000000" w:sz="4"/>
                  </w:tcBorders>
                </w:tcP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CPU（C86）</w:t>
                  </w:r>
                </w:p>
              </w:tc>
              <w:tc>
                <w:tcPr>
                  <w:tcW w:type="dxa" w:w="1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兆芯、海光</w:t>
                  </w:r>
                </w:p>
              </w:tc>
            </w:tr>
            <w:tr>
              <w:tc>
                <w:tcPr>
                  <w:tcW w:type="dxa" w:w="5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基础软件</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操作系统</w:t>
                  </w:r>
                </w:p>
              </w:tc>
              <w:tc>
                <w:tcPr>
                  <w:tcW w:type="dxa" w:w="1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银河麒麟、统信UOS、深度科技、普华软件</w:t>
                  </w:r>
                </w:p>
              </w:tc>
            </w:tr>
            <w:tr>
              <w:tc>
                <w:tcPr>
                  <w:tcW w:type="dxa" w:w="561"/>
                  <w:vMerge/>
                  <w:tcBorders>
                    <w:top w:val="none" w:color="000000" w:sz="4"/>
                    <w:left w:val="single" w:color="000000" w:sz="4"/>
                    <w:bottom w:val="single" w:color="000000" w:sz="4"/>
                    <w:right w:val="single" w:color="000000" w:sz="4"/>
                  </w:tcBorders>
                </w:tcP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数据库</w:t>
                  </w:r>
                </w:p>
              </w:tc>
              <w:tc>
                <w:tcPr>
                  <w:tcW w:type="dxa" w:w="1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达梦、人大金仓、海量、神通、南大通用</w:t>
                  </w:r>
                </w:p>
              </w:tc>
            </w:tr>
            <w:tr>
              <w:tc>
                <w:tcPr>
                  <w:tcW w:type="dxa" w:w="561"/>
                  <w:vMerge/>
                  <w:tcBorders>
                    <w:top w:val="none" w:color="000000" w:sz="4"/>
                    <w:left w:val="single" w:color="000000" w:sz="4"/>
                    <w:bottom w:val="single" w:color="000000" w:sz="4"/>
                    <w:right w:val="single" w:color="000000" w:sz="4"/>
                  </w:tcBorders>
                </w:tcP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中间件</w:t>
                  </w:r>
                </w:p>
              </w:tc>
              <w:tc>
                <w:tcPr>
                  <w:tcW w:type="dxa" w:w="1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东方通、金蝶、宝兰德、长城</w:t>
                  </w:r>
                </w:p>
              </w:tc>
            </w:tr>
            <w:tr>
              <w:tc>
                <w:tcPr>
                  <w:tcW w:type="dxa" w:w="5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基础应用软件</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流式软件</w:t>
                  </w:r>
                </w:p>
              </w:tc>
              <w:tc>
                <w:tcPr>
                  <w:tcW w:type="dxa" w:w="1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WPS、永中</w:t>
                  </w:r>
                </w:p>
              </w:tc>
            </w:tr>
            <w:tr>
              <w:tc>
                <w:tcPr>
                  <w:tcW w:type="dxa" w:w="561"/>
                  <w:vMerge/>
                  <w:tcBorders>
                    <w:top w:val="none" w:color="000000" w:sz="4"/>
                    <w:left w:val="single" w:color="000000" w:sz="4"/>
                    <w:bottom w:val="single" w:color="000000" w:sz="4"/>
                    <w:right w:val="single" w:color="000000" w:sz="4"/>
                  </w:tcBorders>
                </w:tcP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版式软件</w:t>
                  </w:r>
                </w:p>
              </w:tc>
              <w:tc>
                <w:tcPr>
                  <w:tcW w:type="dxa" w:w="1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数科、福昕、点聚</w:t>
                  </w:r>
                </w:p>
              </w:tc>
            </w:tr>
            <w:tr>
              <w:tc>
                <w:tcPr>
                  <w:tcW w:type="dxa" w:w="561"/>
                  <w:vMerge/>
                  <w:tcBorders>
                    <w:top w:val="none" w:color="000000" w:sz="4"/>
                    <w:left w:val="single" w:color="000000" w:sz="4"/>
                    <w:bottom w:val="single" w:color="000000" w:sz="4"/>
                    <w:right w:val="single" w:color="000000" w:sz="4"/>
                  </w:tcBorders>
                </w:tcP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电子签章</w:t>
                  </w:r>
                </w:p>
              </w:tc>
              <w:tc>
                <w:tcPr>
                  <w:tcW w:type="dxa" w:w="1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方正、同智伟业</w:t>
                  </w:r>
                </w:p>
              </w:tc>
            </w:tr>
            <w:tr>
              <w:tc>
                <w:tcPr>
                  <w:tcW w:type="dxa" w:w="561"/>
                  <w:vMerge/>
                  <w:tcBorders>
                    <w:top w:val="none" w:color="000000" w:sz="4"/>
                    <w:left w:val="single" w:color="000000" w:sz="4"/>
                    <w:bottom w:val="single" w:color="000000" w:sz="4"/>
                    <w:right w:val="single" w:color="000000" w:sz="4"/>
                  </w:tcBorders>
                </w:tcP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浏览器</w:t>
                  </w:r>
                </w:p>
              </w:tc>
              <w:tc>
                <w:tcPr>
                  <w:tcW w:type="dxa" w:w="1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火狐、360、奇安信以及市场主流浏览器</w:t>
                  </w:r>
                </w:p>
              </w:tc>
            </w:tr>
          </w:tbl>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rPr>
              <w:t>售后服务要求</w:t>
            </w:r>
          </w:p>
          <w:p>
            <w:pPr>
              <w:pStyle w:val="null3"/>
              <w:ind w:firstLine="480"/>
              <w:jc w:val="both"/>
            </w:pPr>
            <w:r>
              <w:rPr>
                <w:rFonts w:ascii="仿宋_GB2312" w:hAnsi="仿宋_GB2312" w:cs="仿宋_GB2312" w:eastAsia="仿宋_GB2312"/>
              </w:rPr>
              <w:t>1.服务体系</w:t>
            </w:r>
          </w:p>
          <w:p>
            <w:pPr>
              <w:pStyle w:val="null3"/>
              <w:ind w:firstLine="480"/>
              <w:jc w:val="both"/>
            </w:pPr>
            <w:r>
              <w:rPr>
                <w:rFonts w:ascii="仿宋_GB2312" w:hAnsi="仿宋_GB2312" w:cs="仿宋_GB2312" w:eastAsia="仿宋_GB2312"/>
              </w:rPr>
              <w:t>承建单位服务为省发展改革委重点项目“四个一批”管理系统建设服务，建立全方位技术支持与售后服务体系。</w:t>
            </w:r>
          </w:p>
          <w:p>
            <w:pPr>
              <w:pStyle w:val="null3"/>
              <w:ind w:firstLine="480"/>
              <w:jc w:val="both"/>
            </w:pPr>
            <w:r>
              <w:rPr>
                <w:rFonts w:ascii="仿宋_GB2312" w:hAnsi="仿宋_GB2312" w:cs="仿宋_GB2312" w:eastAsia="仿宋_GB2312"/>
              </w:rPr>
              <w:t>该项目一旦运行起来，在省发展改革委业务工作中将占有重要地位，系统售后维护服务和技术支持工作也应有足够保障。针对标书要求、软件系统以及业务的特点，承建单位应为本次项目建立组织体系和服务结构。</w:t>
            </w:r>
          </w:p>
          <w:p>
            <w:pPr>
              <w:pStyle w:val="null3"/>
              <w:ind w:firstLine="480"/>
              <w:jc w:val="both"/>
            </w:pPr>
            <w:r>
              <w:rPr>
                <w:rFonts w:ascii="仿宋_GB2312" w:hAnsi="仿宋_GB2312" w:cs="仿宋_GB2312" w:eastAsia="仿宋_GB2312"/>
              </w:rPr>
              <w:t>售后服务体系由技术支持部负责管理，所有售后服务技术支持人员，均为计算机及相关专业大专以上学历，平均具有3年多的技术支持工作经验，提供4人及以上驻场运维服务，且驻场运维人员是前期参与系统开发全过程的项目组主要成员。</w:t>
            </w:r>
          </w:p>
          <w:p>
            <w:pPr>
              <w:pStyle w:val="null3"/>
              <w:ind w:firstLine="480"/>
              <w:jc w:val="both"/>
            </w:pPr>
            <w:r>
              <w:rPr>
                <w:rFonts w:ascii="仿宋_GB2312" w:hAnsi="仿宋_GB2312" w:cs="仿宋_GB2312" w:eastAsia="仿宋_GB2312"/>
              </w:rPr>
              <w:t>针对本项目采用派驻现场服务和公司后台服务两种形式结合的售后技术支持服务工作，派驻现场服务的技术支持工程师将在项目执行过程中进入项目组，以熟悉系统更好地做好售后技术支持工作。</w:t>
            </w:r>
          </w:p>
          <w:p>
            <w:pPr>
              <w:pStyle w:val="null3"/>
              <w:ind w:firstLine="480"/>
              <w:jc w:val="both"/>
            </w:pPr>
            <w:r>
              <w:rPr>
                <w:rFonts w:ascii="仿宋_GB2312" w:hAnsi="仿宋_GB2312" w:cs="仿宋_GB2312" w:eastAsia="仿宋_GB2312"/>
              </w:rPr>
              <w:t>2.本地化服务</w:t>
            </w:r>
          </w:p>
          <w:p>
            <w:pPr>
              <w:pStyle w:val="null3"/>
              <w:ind w:firstLine="480"/>
              <w:jc w:val="both"/>
            </w:pPr>
            <w:r>
              <w:rPr>
                <w:rFonts w:ascii="仿宋_GB2312" w:hAnsi="仿宋_GB2312" w:cs="仿宋_GB2312" w:eastAsia="仿宋_GB2312"/>
              </w:rPr>
              <w:t>项目承建单位提供一支本地化服务团队，针对本次项目实际情况和用户要求，统一建立技术支持服务队伍，提供本地化服务。技术支持服务队伍人员不少于5名，其中免费运维期内提供2人免费现场派驻服务。</w:t>
            </w:r>
          </w:p>
          <w:p>
            <w:pPr>
              <w:pStyle w:val="null3"/>
              <w:ind w:firstLine="480"/>
              <w:jc w:val="both"/>
            </w:pPr>
            <w:r>
              <w:rPr>
                <w:rFonts w:ascii="仿宋_GB2312" w:hAnsi="仿宋_GB2312" w:cs="仿宋_GB2312" w:eastAsia="仿宋_GB2312"/>
              </w:rPr>
              <w:t>3.服务形式及流程</w:t>
            </w:r>
          </w:p>
          <w:p>
            <w:pPr>
              <w:pStyle w:val="null3"/>
              <w:ind w:firstLine="480"/>
              <w:jc w:val="both"/>
            </w:pPr>
            <w:r>
              <w:rPr>
                <w:rFonts w:ascii="仿宋_GB2312" w:hAnsi="仿宋_GB2312" w:cs="仿宋_GB2312" w:eastAsia="仿宋_GB2312"/>
              </w:rPr>
              <w:t>免费运维期内提供2人免费现场派驻服务，驻场服务期间，实时做出响应和安排，7×24小时电话或电子邮件后台技术服务。</w:t>
            </w:r>
          </w:p>
          <w:p>
            <w:pPr>
              <w:pStyle w:val="null3"/>
              <w:ind w:firstLine="480"/>
              <w:jc w:val="both"/>
            </w:pPr>
            <w:r>
              <w:rPr>
                <w:rFonts w:ascii="仿宋_GB2312" w:hAnsi="仿宋_GB2312" w:cs="仿宋_GB2312" w:eastAsia="仿宋_GB2312"/>
              </w:rPr>
              <w:t>4.服务内容</w:t>
            </w:r>
          </w:p>
          <w:p>
            <w:pPr>
              <w:pStyle w:val="null3"/>
              <w:ind w:firstLine="480"/>
              <w:jc w:val="both"/>
            </w:pPr>
            <w:r>
              <w:rPr>
                <w:rFonts w:ascii="仿宋_GB2312" w:hAnsi="仿宋_GB2312" w:cs="仿宋_GB2312" w:eastAsia="仿宋_GB2312"/>
              </w:rPr>
              <w:t>（1）缺陷管理：针对本次招标的系统中存在的bug、缺陷，不论在质保期内、外，投标人均应持续提供修正与消缺服务。</w:t>
            </w:r>
          </w:p>
          <w:p>
            <w:pPr>
              <w:pStyle w:val="null3"/>
              <w:ind w:firstLine="480"/>
              <w:jc w:val="both"/>
            </w:pPr>
            <w:r>
              <w:rPr>
                <w:rFonts w:ascii="仿宋_GB2312" w:hAnsi="仿宋_GB2312" w:cs="仿宋_GB2312" w:eastAsia="仿宋_GB2312"/>
              </w:rPr>
              <w:t>（2）应急故障处理：系统运行环境出现故障或意外情况导致系统不能正常运行时，在接到派驻人员无法及时解决的故障处理报告后，投标人将根据情况立即调集相关技术力量进入现场予以解决，确保系统正常运行。遇到8小时内仍无法解决的系统故障，中标单位必须提出应急处理方案，保证系统稳定性和整体安全；在故障处理结束后24小时内应提出书面故障处理报告。</w:t>
            </w:r>
          </w:p>
          <w:p>
            <w:pPr>
              <w:pStyle w:val="null3"/>
              <w:jc w:val="center"/>
            </w:pPr>
            <w:r>
              <w:rPr>
                <w:rFonts w:ascii="仿宋_GB2312" w:hAnsi="仿宋_GB2312" w:cs="仿宋_GB2312" w:eastAsia="仿宋_GB2312"/>
              </w:rPr>
              <w:t>表5-17服务内容</w:t>
            </w:r>
          </w:p>
          <w:tbl>
            <w:tblPr>
              <w:tblBorders>
                <w:top w:val="none" w:color="000000" w:sz="4"/>
                <w:left w:val="none" w:color="000000" w:sz="4"/>
                <w:bottom w:val="none" w:color="000000" w:sz="4"/>
                <w:right w:val="none" w:color="000000" w:sz="4"/>
                <w:insideH w:val="none"/>
                <w:insideV w:val="none"/>
              </w:tblBorders>
            </w:tblPr>
            <w:tblGrid>
              <w:gridCol w:w="510"/>
              <w:gridCol w:w="510"/>
              <w:gridCol w:w="510"/>
              <w:gridCol w:w="510"/>
              <w:gridCol w:w="510"/>
            </w:tblGrid>
            <w:tr>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故障等级</w:t>
                  </w:r>
                </w:p>
              </w:tc>
              <w:tc>
                <w:tcPr>
                  <w:tcW w:type="dxa" w:w="5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响应时间</w:t>
                  </w:r>
                </w:p>
              </w:tc>
              <w:tc>
                <w:tcPr>
                  <w:tcW w:type="dxa" w:w="5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问题提交响应</w:t>
                  </w:r>
                </w:p>
              </w:tc>
              <w:tc>
                <w:tcPr>
                  <w:tcW w:type="dxa" w:w="5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现场响应</w:t>
                  </w:r>
                </w:p>
              </w:tc>
              <w:tc>
                <w:tcPr>
                  <w:tcW w:type="dxa" w:w="5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解决期限</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严重故障</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5分钟</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立即提交</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30分钟</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2小时</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主要故障</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5分钟</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立即提交</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30分钟</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4小时</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一般故障</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15分钟</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立即提交</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1小时</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8小时</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非故障</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15分钟</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立即提交</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8小时</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8小时</w:t>
                  </w:r>
                </w:p>
              </w:tc>
            </w:tr>
          </w:tbl>
          <w:p>
            <w:pPr>
              <w:pStyle w:val="null3"/>
              <w:ind w:firstLine="480"/>
              <w:jc w:val="both"/>
            </w:pPr>
            <w:r>
              <w:rPr>
                <w:rFonts w:ascii="仿宋_GB2312" w:hAnsi="仿宋_GB2312" w:cs="仿宋_GB2312" w:eastAsia="仿宋_GB2312"/>
              </w:rPr>
              <w:t>（3）系统升级：提供应用平台的软件补丁版本的升级服务。</w:t>
            </w:r>
          </w:p>
          <w:p>
            <w:pPr>
              <w:pStyle w:val="null3"/>
              <w:ind w:firstLine="480"/>
              <w:jc w:val="both"/>
            </w:pPr>
            <w:r>
              <w:rPr>
                <w:rFonts w:ascii="仿宋_GB2312" w:hAnsi="仿宋_GB2312" w:cs="仿宋_GB2312" w:eastAsia="仿宋_GB2312"/>
              </w:rPr>
              <w:t>（4）需求变更：对于招标方自身业务规则的变化导致的非模块级功能需求变更、性能要求提升导致的部署结构变化，可经双方协商提供限定次数的服务支持。</w:t>
            </w:r>
          </w:p>
          <w:p>
            <w:pPr>
              <w:pStyle w:val="null3"/>
              <w:ind w:firstLine="480"/>
              <w:jc w:val="both"/>
            </w:pPr>
            <w:r>
              <w:rPr>
                <w:rFonts w:ascii="仿宋_GB2312" w:hAnsi="仿宋_GB2312" w:cs="仿宋_GB2312" w:eastAsia="仿宋_GB2312"/>
              </w:rPr>
              <w:t>（5）文档服务：整个服务过程均需有完善的文档记录，便于跟踪、分析问题；对各项服务提供详细的书面报告，包括故障处理报告、健康巡检报告、系统性能检测调优报告、维护总结报告、服务年度报告等。每次现场服务后均须向甲方提交《维护技术服务工作报告》，对未完全解决的问题，服务工程师须与甲方工程师联系，跟踪问题，分析协商处理方案，直至问题解决。</w:t>
            </w:r>
          </w:p>
          <w:p>
            <w:pPr>
              <w:pStyle w:val="null3"/>
              <w:ind w:firstLine="480"/>
              <w:jc w:val="both"/>
            </w:pPr>
            <w:r>
              <w:rPr>
                <w:rFonts w:ascii="仿宋_GB2312" w:hAnsi="仿宋_GB2312" w:cs="仿宋_GB2312" w:eastAsia="仿宋_GB2312"/>
              </w:rPr>
              <w:t>（6）运行支持：对系统运行过程中用户及业务部门的问题提供解答和问题解决跟踪，对于关键业务点的上线与运行提供现场保障。服务期期间，提供7×24（每周7天，每天24小时）。</w:t>
            </w:r>
          </w:p>
          <w:p>
            <w:pPr>
              <w:pStyle w:val="null3"/>
              <w:ind w:firstLine="480"/>
              <w:jc w:val="both"/>
            </w:pPr>
            <w:r>
              <w:rPr>
                <w:rFonts w:ascii="仿宋_GB2312" w:hAnsi="仿宋_GB2312" w:cs="仿宋_GB2312" w:eastAsia="仿宋_GB2312"/>
              </w:rPr>
              <w:t>（7）例行巡检：每半年对甲方系统进行一次例行巡检，并提交巡检报告、问题分析和整改报告。在最终用户重大业务活动之前，免费到最终用户现场对系统进行例行检查和支持。</w:t>
            </w:r>
          </w:p>
          <w:p>
            <w:pPr>
              <w:pStyle w:val="null3"/>
              <w:ind w:firstLine="480"/>
              <w:jc w:val="both"/>
            </w:pPr>
            <w:r>
              <w:rPr>
                <w:rFonts w:ascii="仿宋_GB2312" w:hAnsi="仿宋_GB2312" w:cs="仿宋_GB2312" w:eastAsia="仿宋_GB2312"/>
              </w:rPr>
              <w:t>（8）服务期内免费为用户提供产品的软件维护、版本升级、补丁程序及技术支持等服务，提供客户化软件升级服务。</w:t>
            </w:r>
          </w:p>
          <w:p>
            <w:pPr>
              <w:pStyle w:val="null3"/>
              <w:ind w:firstLine="480"/>
              <w:jc w:val="both"/>
            </w:pPr>
            <w:r>
              <w:rPr>
                <w:rFonts w:ascii="仿宋_GB2312" w:hAnsi="仿宋_GB2312" w:cs="仿宋_GB2312" w:eastAsia="仿宋_GB2312"/>
              </w:rPr>
              <w:t>（9）在最终用户使用主流品牌的硬件、软件产品出现兼容性问题时，积极配合，与有关硬件、软件厂商和最终用户接洽，及时定位问题原因、寻求解决方案。</w:t>
            </w:r>
          </w:p>
          <w:p>
            <w:pPr>
              <w:pStyle w:val="null3"/>
              <w:ind w:firstLine="480"/>
              <w:jc w:val="both"/>
            </w:pPr>
            <w:r>
              <w:rPr>
                <w:rFonts w:ascii="仿宋_GB2312" w:hAnsi="仿宋_GB2312" w:cs="仿宋_GB2312" w:eastAsia="仿宋_GB2312"/>
              </w:rPr>
              <w:t>（10）不改变系统整体框架结构的前提下，根据用户需求调整系统功能，及时提交相应的设计和实施方案，调整优化时间不超过2个月。</w:t>
            </w:r>
          </w:p>
          <w:p>
            <w:pPr>
              <w:pStyle w:val="null3"/>
              <w:ind w:firstLine="480"/>
              <w:jc w:val="both"/>
            </w:pPr>
            <w:r>
              <w:rPr>
                <w:rFonts w:ascii="仿宋_GB2312" w:hAnsi="仿宋_GB2312" w:cs="仿宋_GB2312" w:eastAsia="仿宋_GB2312"/>
              </w:rPr>
              <w:t>5.服务保障措施</w:t>
            </w:r>
          </w:p>
          <w:p>
            <w:pPr>
              <w:pStyle w:val="null3"/>
              <w:numPr>
                <w:ilvl w:val="0"/>
                <w:numId w:val="2"/>
              </w:numPr>
              <w:ind w:left="240"/>
            </w:pPr>
            <w:r>
              <w:rPr>
                <w:rFonts w:ascii="仿宋_GB2312" w:hAnsi="仿宋_GB2312" w:cs="仿宋_GB2312" w:eastAsia="仿宋_GB2312"/>
              </w:rPr>
              <w:t>人员保障</w:t>
            </w:r>
          </w:p>
          <w:p>
            <w:pPr>
              <w:pStyle w:val="null3"/>
              <w:ind w:firstLine="480"/>
              <w:jc w:val="both"/>
            </w:pPr>
            <w:r>
              <w:rPr>
                <w:rFonts w:ascii="仿宋_GB2312" w:hAnsi="仿宋_GB2312" w:cs="仿宋_GB2312" w:eastAsia="仿宋_GB2312"/>
              </w:rPr>
              <w:t>承建单位客户服务部为公司售后服务部门，部门将为陕西省发展改革委项目建设配备专业的客户经理和产品经理及技术支持团队，以确保售后服务的效率及服务质量，同时在客户现场提供驻场人员进行现场服务。</w:t>
            </w:r>
          </w:p>
          <w:p>
            <w:pPr>
              <w:pStyle w:val="null3"/>
              <w:numPr>
                <w:ilvl w:val="0"/>
                <w:numId w:val="2"/>
              </w:numPr>
              <w:ind w:left="240"/>
            </w:pPr>
            <w:r>
              <w:rPr>
                <w:rFonts w:ascii="仿宋_GB2312" w:hAnsi="仿宋_GB2312" w:cs="仿宋_GB2312" w:eastAsia="仿宋_GB2312"/>
              </w:rPr>
              <w:t>设施保障</w:t>
            </w:r>
          </w:p>
          <w:p>
            <w:pPr>
              <w:pStyle w:val="null3"/>
              <w:ind w:firstLine="480"/>
              <w:jc w:val="both"/>
            </w:pPr>
            <w:r>
              <w:rPr>
                <w:rFonts w:ascii="仿宋_GB2312" w:hAnsi="仿宋_GB2312" w:cs="仿宋_GB2312" w:eastAsia="仿宋_GB2312"/>
              </w:rPr>
              <w:t>承建单位将使用专业的客户服务平台、先进的系统软件性能检测工具、方便实用的系统安全检测工具为保障，确保应用系统的稳定运行。</w:t>
            </w:r>
          </w:p>
          <w:p>
            <w:pPr>
              <w:pStyle w:val="null3"/>
              <w:numPr>
                <w:ilvl w:val="0"/>
                <w:numId w:val="2"/>
              </w:numPr>
              <w:ind w:left="240"/>
            </w:pPr>
            <w:r>
              <w:rPr>
                <w:rFonts w:ascii="仿宋_GB2312" w:hAnsi="仿宋_GB2312" w:cs="仿宋_GB2312" w:eastAsia="仿宋_GB2312"/>
              </w:rPr>
              <w:t>免费质保期</w:t>
            </w:r>
          </w:p>
          <w:p>
            <w:pPr>
              <w:pStyle w:val="null3"/>
              <w:ind w:firstLine="480"/>
              <w:jc w:val="both"/>
            </w:pPr>
            <w:r>
              <w:rPr>
                <w:rFonts w:ascii="仿宋_GB2312" w:hAnsi="仿宋_GB2312" w:cs="仿宋_GB2312" w:eastAsia="仿宋_GB2312"/>
              </w:rPr>
              <w:t>自项目验收完成之日起三年免费的系统软件维保服务，包括软件版本免费升级和人工服务。</w:t>
            </w:r>
          </w:p>
          <w:p>
            <w:pPr>
              <w:pStyle w:val="null3"/>
              <w:numPr>
                <w:ilvl w:val="0"/>
                <w:numId w:val="2"/>
              </w:numPr>
              <w:ind w:left="240"/>
            </w:pPr>
            <w:r>
              <w:rPr>
                <w:rFonts w:ascii="仿宋_GB2312" w:hAnsi="仿宋_GB2312" w:cs="仿宋_GB2312" w:eastAsia="仿宋_GB2312"/>
              </w:rPr>
              <w:t>服务监督</w:t>
            </w:r>
          </w:p>
          <w:p>
            <w:pPr>
              <w:pStyle w:val="null3"/>
              <w:ind w:firstLine="480"/>
              <w:jc w:val="both"/>
            </w:pPr>
            <w:r>
              <w:rPr>
                <w:rFonts w:ascii="仿宋_GB2312" w:hAnsi="仿宋_GB2312" w:cs="仿宋_GB2312" w:eastAsia="仿宋_GB2312"/>
              </w:rPr>
              <w:t>为了很好地发挥系统软件的作用，保障软件良好运行，为用户创造效益，实施服务中心回访员在征得用户同意后，将定期对客户进行跟踪回访服务。</w:t>
            </w:r>
          </w:p>
          <w:p>
            <w:pPr>
              <w:pStyle w:val="null3"/>
              <w:ind w:firstLine="480"/>
              <w:jc w:val="both"/>
            </w:pPr>
            <w:r>
              <w:rPr>
                <w:rFonts w:ascii="仿宋_GB2312" w:hAnsi="仿宋_GB2312" w:cs="仿宋_GB2312" w:eastAsia="仿宋_GB2312"/>
              </w:rPr>
              <w:t>设立服务监督电话，随时接受用户投诉和意见反馈，通过服务监督员定期抽样回访用户，检查服务工作执行情况，不断改进服务。</w:t>
            </w:r>
          </w:p>
          <w:p>
            <w:pPr>
              <w:pStyle w:val="null3"/>
              <w:ind w:firstLine="480"/>
              <w:jc w:val="both"/>
            </w:pP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系统须具有以下功能：</w:t>
            </w:r>
          </w:p>
          <w:tbl>
            <w:tblPr>
              <w:tblInd w:type="dxa" w:w="120"/>
              <w:tblBorders>
                <w:top w:val="none" w:color="000000" w:sz="4"/>
                <w:left w:val="none" w:color="000000" w:sz="4"/>
                <w:bottom w:val="none" w:color="000000" w:sz="4"/>
                <w:right w:val="none" w:color="000000" w:sz="4"/>
                <w:insideH w:val="none"/>
                <w:insideV w:val="none"/>
              </w:tblBorders>
            </w:tblPr>
            <w:tblGrid>
              <w:gridCol w:w="210"/>
              <w:gridCol w:w="345"/>
              <w:gridCol w:w="284"/>
              <w:gridCol w:w="284"/>
              <w:gridCol w:w="1431"/>
            </w:tblGrid>
            <w:tr>
              <w:tc>
                <w:tcPr>
                  <w:tcW w:type="dxa" w:w="210"/>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345"/>
                  <w:tcBorders>
                    <w:top w:val="single" w:color="000000" w:sz="4"/>
                    <w:left w:val="non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项目</w:t>
                  </w:r>
                </w:p>
                <w:p>
                  <w:pPr>
                    <w:pStyle w:val="null3"/>
                    <w:jc w:val="center"/>
                  </w:pPr>
                  <w:r>
                    <w:rPr>
                      <w:rFonts w:ascii="仿宋_GB2312" w:hAnsi="仿宋_GB2312" w:cs="仿宋_GB2312" w:eastAsia="仿宋_GB2312"/>
                      <w:sz w:val="19"/>
                    </w:rPr>
                    <w:t>名称</w:t>
                  </w:r>
                </w:p>
              </w:tc>
              <w:tc>
                <w:tcPr>
                  <w:tcW w:type="dxa" w:w="284"/>
                  <w:tcBorders>
                    <w:top w:val="single" w:color="000000" w:sz="4"/>
                    <w:left w:val="non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项目</w:t>
                  </w:r>
                </w:p>
                <w:p>
                  <w:pPr>
                    <w:pStyle w:val="null3"/>
                    <w:jc w:val="center"/>
                  </w:pPr>
                  <w:r>
                    <w:rPr>
                      <w:rFonts w:ascii="仿宋_GB2312" w:hAnsi="仿宋_GB2312" w:cs="仿宋_GB2312" w:eastAsia="仿宋_GB2312"/>
                      <w:sz w:val="19"/>
                    </w:rPr>
                    <w:t>模块</w:t>
                  </w:r>
                </w:p>
              </w:tc>
              <w:tc>
                <w:tcPr>
                  <w:tcW w:type="dxa" w:w="1715"/>
                  <w:gridSpan w:val="2"/>
                  <w:tcBorders>
                    <w:top w:val="single" w:color="000000" w:sz="4"/>
                    <w:left w:val="non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功能模块</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陕西省项目管理服务数字化平台扩建（重点项目“四个一批”管理系统建设）项目建设</w:t>
                  </w:r>
                </w:p>
              </w:tc>
              <w:tc>
                <w:tcPr>
                  <w:tcW w:type="dxa" w:w="284"/>
                  <w:vMerge w:val="restart"/>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“四个一批”项目管理</w:t>
                  </w:r>
                </w:p>
              </w:tc>
              <w:tc>
                <w:tcPr>
                  <w:tcW w:type="dxa" w:w="2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首页</w:t>
                  </w:r>
                </w:p>
                <w:p>
                  <w:pPr>
                    <w:pStyle w:val="null3"/>
                    <w:jc w:val="left"/>
                  </w:pPr>
                  <w:r>
                    <w:rPr>
                      <w:rFonts w:ascii="仿宋_GB2312" w:hAnsi="仿宋_GB2312" w:cs="仿宋_GB2312" w:eastAsia="仿宋_GB2312"/>
                      <w:sz w:val="19"/>
                    </w:rPr>
                    <w:t>分析</w:t>
                  </w:r>
                </w:p>
              </w:tc>
              <w:tc>
                <w:tcPr>
                  <w:tcW w:type="dxa" w:w="14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导航管理</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登录管理</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修改密码</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操作手册</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省级“四个一批”分析</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市级“四个一批”分析</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招商项目分析</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行业分库分析</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要素保障分析</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思维导图</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手续办理一张图</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省级“四个一批”</w:t>
                  </w: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项目申报</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省级谋划项目库</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省级储备项目库</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省级开工（在建）项目库</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省级投产项目库</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省级回收站</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省级历史库</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征集项目库</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省级“四个一批”项目追溯库</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省级“四个一批”项目总览</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省级“四个一批”单位总览</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省级“四个一批”项目计算库</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市级“四个一批”</w:t>
                  </w: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市级“四个一批”项目申报库</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市级谋划项目库</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市级储备项目库</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市级开工（在建）项目库</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市级“四个一批”投产项目库</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29</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市级回收站</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市级“四个一批”历史库</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31</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市级“四个一批”追溯库</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市级“四个一批”项目总览</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33</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市级“四个一批”单位总览</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34</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项目关注</w:t>
                  </w: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我的关注项目</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项目后评价</w:t>
                  </w: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产业链图谱</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36</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项目前期评价</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37</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项目过程性评价</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38</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项目后期评价</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39</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评价权重指标管理</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评价结果</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41</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省级重大专题推进活动项目</w:t>
                  </w: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实质性开工项目</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竣工投用项目</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43</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计划下年一季度开工项目</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44</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项目用地手续（自然资源厅负责）</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45</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项目林草手续（省林业局负责）</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46</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项目能评手续（省发改委环资处负责）</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47</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项目环评手续（生态环境厅负责）</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48</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重大专题项目排名</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49</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跨区域项目</w:t>
                  </w: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跨区域项目</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投资主体管理</w:t>
                  </w: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投资主体主页</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51</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投资主体省级“四个一批”项目管理</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52</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投资主体市级“四个一批”项目管理</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53</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投资主体月度管理</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54</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投资主体问题管理</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55</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省级重点项目“四个一批”数据</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56</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省级项目全生命周期管理</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57</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数据总看板</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58</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17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领导驾驶舱</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59</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观摩日程安排</w:t>
                  </w:r>
                </w:p>
              </w:tc>
              <w:tc>
                <w:tcPr>
                  <w:tcW w:type="dxa" w:w="14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项目观摩</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项目观摩项目手续</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61</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项目观摩日程表</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62</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项目观摩历史库</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63</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项目电子台账</w:t>
                  </w: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项目电子台账</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64</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项目校验</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65</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项目地域分布</w:t>
                  </w: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项目地域分布标注</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66</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项目地域分布图</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67</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视频展示</w:t>
                  </w: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项目监控管理</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68</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项目现场拍摄视频</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69</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基础管理</w:t>
                  </w: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基础管理用户管理</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基础管理机构管理</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71</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基础管理角色管理</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72</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基础管理系统参数</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73</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通知公告通告管理</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74</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通知公告动态管理</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75</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字典管理</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76</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项目表单维护</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77</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项目手续管理</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78</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国民经济分类管理</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79</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行业领域管理</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产业链管理</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81</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企业管理</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82</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政策法规库</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83</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站位图</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84</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项目批注管理</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85</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知识库</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86</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用户画像分析</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87</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项目日志</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88</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项目常用导出</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89</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系统汇总备份项目信息</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90</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短信模板</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91</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通讯录</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92</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“秦政通”系统对接</w:t>
                  </w: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“秦政通”系统对接谋划项目</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93</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“秦政通”系统对接储备项目</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94</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“秦政通”系统开工(在建）项目</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95</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“秦政通”系统投产项目</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96</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“秦政通”系统全省项目“四个一批”</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97</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“秦政通”系统全省数据</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98</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全省各市地图穿透</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99</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部门年度投资列表</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领导首页</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101</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领导项目总览</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102</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领导包抓</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103</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领导要素保障</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104</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领导挂图作战</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105</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领导项目批示</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106</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领导汇总功能</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107</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领导单位汇总</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108</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领导项目详情</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109</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领导谋划项目</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110</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领导储备项目</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111</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领导开工（在建）项目</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112</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领导投产项目</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113</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领导我的关注</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114</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对接各地市“四个一批”</w:t>
                  </w: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各地市“四个一批”项目库</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115</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各地市“四个一批”项目月度信息</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116</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各地市“四个一批”项目手续信息</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117</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各地市“四个一批”项目附件信息</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118</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陕西省投资项目在线审批监管平台对接</w:t>
                  </w: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在线审批对接服务端</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120</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在线审批对接客户端</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121</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“四个一批”任务调度</w:t>
                  </w: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我的调度项目</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122</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市级项目调度总览</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123</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市级项目调度分项目</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124</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任务调度就业监测</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125</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任务调度竣工监测</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126</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我的监测项目</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127</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省级领导联系的其他项目</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128</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苏陕协作</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129</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任务调度协助进展</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130</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任务调度立项（对应要素保障部门进行调度）</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131</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任务调度能评（对应要素保障部门进行调度）</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132</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任务调度环评（对应要素保障部门进行调度）</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133</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任务调度省级用地（对应要素保障部门进行调度）</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134</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任务调度市级用地（对应要素保障部门进行调度）</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135</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任务调度文勘（对应要素保障部门进行调度）</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136</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任务调度林地（对应要素保障部门进行调度）</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137</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任务调度湿地（对应要素保障部门进行调度）</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138</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任务调度人防（对应要素保障部门进行调度）</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139</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任务调度消防（对应要素保障部门进行调度）</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140</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任务调度水评价（对应要素保障部门进行调度）</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141</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任务调度交评（对应要素保障部门进行调度）</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142</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任务调度稳评（对应要素保障部门进行调度）</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143</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任务调度工程建设规划（对应要素保障部门进行调度）</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144</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任务调度施工许可（对应要素保障部门进行调度）</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145</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行业主管部门</w:t>
                  </w: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行业主管项目</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146</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各部门分库</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147</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入统项目</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148</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未入统项目</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149</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工信项目库</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150</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重点专项库</w:t>
                  </w: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整改项目管理</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151</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重中之重项目管理</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152</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重要会议（报告）关注项目管理</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153</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督办管理</w:t>
                  </w: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预警规则库</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154</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预警项目清单</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155</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“四个一批”统计报表</w:t>
                  </w: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统计报表省级“四个一批”(分领域)</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156</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统计报表省级“四个一批”(按行业)</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157</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统计报表省级“四个一批”(分地市)</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158</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统计报表谋划项目</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159</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统计报表储备项目</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160</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统计报表开工(在建)项目</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161</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统计报表投产项目</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162</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统计报表环评手续</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163</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统计报表省级“四个一批”项目偏离度表</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164</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统计报表年计划分解</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165</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统计报表项目总览</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166</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统计报表项目变更申请表</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167</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统计报表项目退回申请表</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168</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统计报表项目调出申请表</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169</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统计报表项目增补表（报政府）</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170</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统计报表省级项目中期调整表</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171</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统计报表项目转化情况（分地市）</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172</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统计报表项目投资情况（分地市）</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173</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地市投资完成率</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174</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地市投资完成占比排行</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175</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地市偏离度排行</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176</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地市入统情况排行</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177</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要素保障单位办结排行</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178</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行业主管单位反馈排行</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179</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转库情况排行</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180</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项目投资情况（分领导）</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181</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“四个一批”统计图表</w:t>
                  </w: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“四个一批”按领域统计图表</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182</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“四个一批”按地市统计图表</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183</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“四个一批”按行业统计图表</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184</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“四个一批”按行业主管单位统计图表</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185</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non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“四个一批”按历年项目对比情况统计图表</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186</w:t>
                  </w:r>
                </w:p>
              </w:tc>
              <w:tc>
                <w:tcPr>
                  <w:tcW w:type="dxa" w:w="345"/>
                  <w:vMerge/>
                  <w:tcBorders>
                    <w:top w:val="none" w:color="000000" w:sz="4"/>
                    <w:left w:val="none" w:color="000000" w:sz="4"/>
                    <w:bottom w:val="single" w:color="000000" w:sz="4"/>
                    <w:right w:val="single" w:color="000000" w:sz="4"/>
                  </w:tcBorders>
                </w:tcPr>
                <w:p/>
              </w:tc>
              <w:tc>
                <w:tcPr>
                  <w:tcW w:type="dxa" w:w="2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年度计划项目管理</w:t>
                  </w:r>
                </w:p>
              </w:tc>
              <w:tc>
                <w:tcPr>
                  <w:tcW w:type="dxa" w:w="2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年度计划项目首页</w:t>
                  </w: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省级年度计划项目首页</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187</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市级年度计划项目首页</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188</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项目流程思维导图</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189</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年度计划项目管理</w:t>
                  </w: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年度计划预备项目申报库</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192</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年度计划预备项目审核库</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193</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年度计划预备项目筛选库</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194</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年度计划预备项目库</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195</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年度计划项目申报库</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196</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年度计划项目筛选库</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197</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年度计划版本库</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198</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年度计划项目库</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199</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省级领导联系项目模块</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非省级项目模块</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201</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年度计划项目计算库</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202</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年度计划项目追溯库</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203</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项目二维码</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204</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年度计划任务调度</w:t>
                  </w: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年度计划任务调度项目</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206</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年度计划任务调度预备项目</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207</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年度计划周进度调度</w:t>
                  </w: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年度计划项目周报</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208</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年度计划预备周报</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209</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年度计划半月进度调度</w:t>
                  </w: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年度计划重点半月进度调度</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210</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年度计划预备半月进度调度</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211</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协助项目半月度进展填报管理</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212</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年度计划项目地市月度调度</w:t>
                  </w: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年度计划地市月度管理预备项目</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213</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年度计划地市月度管理项目</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214</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年度计划项目统计报表</w:t>
                  </w: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年度计划项目统计报表建设项目分领域</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215</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年度计划项目统计报表建设项目分单位</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216</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年度计划项目统计报表招商暂不推荐（活动）</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217</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年度计划项目统计报表招商暂不推荐（地市）</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218</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年度计划项目统计报表行业领域汇总</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219</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年度计划项目统计报表行业领域明细</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220</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年度计划项目统计报表责任单位汇总</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221</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年度计划项目统计报表责任单位明细</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222</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年度计划项目统计报表未开工项目明细</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223</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年度计划项目统计报表已开工项目明细</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224</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年度计划项目统计报表已竣工项目明细</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225</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年度计划项目统计报表省级项目通报表</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226</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年度计划项目统计报表市级项目通报表</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227</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年度计划项目统计报表月度填报排行榜</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228</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年度计划项目半月调度汇总</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229</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年度计划项目统计报表月调度汇总</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230</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年度计划项目偏离度分析表</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231</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产业类项目进展情况</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232</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能源局项目进展情况</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233</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月度责任单位同比分</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234</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月度行业领域同比分析</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235</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年度计划项目分领导汇总</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236</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年度计划项目分领导明细</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237</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项目转化情况（分领导）</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238</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年度计划统计图表</w:t>
                  </w: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年度计划项目按单位统计图表</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239</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年度计划项目每月情况统计图表</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240</w:t>
                  </w:r>
                </w:p>
              </w:tc>
              <w:tc>
                <w:tcPr>
                  <w:tcW w:type="dxa" w:w="345"/>
                  <w:vMerge/>
                  <w:tcBorders>
                    <w:top w:val="none" w:color="000000" w:sz="4"/>
                    <w:left w:val="none" w:color="000000" w:sz="4"/>
                    <w:bottom w:val="single" w:color="000000" w:sz="4"/>
                    <w:right w:val="single" w:color="000000" w:sz="4"/>
                  </w:tcBorders>
                </w:tcPr>
                <w:p/>
              </w:tc>
              <w:tc>
                <w:tcPr>
                  <w:tcW w:type="dxa" w:w="2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五年规划项目管理</w:t>
                  </w:r>
                </w:p>
              </w:tc>
              <w:tc>
                <w:tcPr>
                  <w:tcW w:type="dxa" w:w="17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五年规划项目首页</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241</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五年规划项目管理库</w:t>
                  </w:r>
                </w:p>
              </w:tc>
              <w:tc>
                <w:tcPr>
                  <w:tcW w:type="dxa" w:w="14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五年规划项目申报库</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242</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五年规划项目任务</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243</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五年规划项目审核库</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244</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五年规划项目筛选库</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245</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五年规划项目库</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246</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五年规划追溯库</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247</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7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五年规划项目调度</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248</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7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五年规划项目数据看板</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249</w:t>
                  </w:r>
                </w:p>
              </w:tc>
              <w:tc>
                <w:tcPr>
                  <w:tcW w:type="dxa" w:w="345"/>
                  <w:vMerge/>
                  <w:tcBorders>
                    <w:top w:val="none" w:color="000000" w:sz="4"/>
                    <w:left w:val="none" w:color="000000" w:sz="4"/>
                    <w:bottom w:val="single" w:color="000000" w:sz="4"/>
                    <w:right w:val="single" w:color="000000" w:sz="4"/>
                  </w:tcBorders>
                </w:tcPr>
                <w:p/>
              </w:tc>
              <w:tc>
                <w:tcPr>
                  <w:tcW w:type="dxa" w:w="2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招商引资签约项目管理</w:t>
                  </w:r>
                </w:p>
              </w:tc>
              <w:tc>
                <w:tcPr>
                  <w:tcW w:type="dxa" w:w="17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签约活动</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250</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7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战略协议</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251</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7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招商项目</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252</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7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暂不推荐项目</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253</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7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再次推送项目</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254</w:t>
                  </w:r>
                </w:p>
              </w:tc>
              <w:tc>
                <w:tcPr>
                  <w:tcW w:type="dxa" w:w="345"/>
                  <w:vMerge/>
                  <w:tcBorders>
                    <w:top w:val="none" w:color="000000" w:sz="4"/>
                    <w:left w:val="none" w:color="000000" w:sz="4"/>
                    <w:bottom w:val="single" w:color="000000" w:sz="4"/>
                    <w:right w:val="single" w:color="000000" w:sz="4"/>
                  </w:tcBorders>
                </w:tcPr>
                <w:p/>
              </w:tc>
              <w:tc>
                <w:tcPr>
                  <w:tcW w:type="dxa" w:w="2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要素保障功能</w:t>
                  </w:r>
                </w:p>
              </w:tc>
              <w:tc>
                <w:tcPr>
                  <w:tcW w:type="dxa" w:w="17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手续总览</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255</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7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省/市要素保障立项（审批、核准、备案）手续</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256</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7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省/市要素保障环评手续</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257</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7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省/市要素保障能评手续</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258</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7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省/市要素保障土地批复手续</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259</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7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省/市要素保障文勘手续</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260</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7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省/市要素保障林地手续</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261</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7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省/市要素保障湿地手续</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262</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7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省/市要素保障人防手续</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263</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7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省/市要素保障消防手续</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264</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7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省/市要素保障水评价手续</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265</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7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省/市要素保障交评手续</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266</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7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省/市要素保障稳评手续</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267</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7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省/市要素保障工程建设手续</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268</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7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省/市要素保障施工许可手续</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269</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7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素保障数据看板</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270</w:t>
                  </w:r>
                </w:p>
              </w:tc>
              <w:tc>
                <w:tcPr>
                  <w:tcW w:type="dxa" w:w="345"/>
                  <w:vMerge/>
                  <w:tcBorders>
                    <w:top w:val="none" w:color="000000" w:sz="4"/>
                    <w:left w:val="none" w:color="000000" w:sz="4"/>
                    <w:bottom w:val="single" w:color="000000" w:sz="4"/>
                    <w:right w:val="single" w:color="000000" w:sz="4"/>
                  </w:tcBorders>
                </w:tcPr>
                <w:p/>
              </w:tc>
              <w:tc>
                <w:tcPr>
                  <w:tcW w:type="dxa" w:w="2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项目问题管理</w:t>
                  </w:r>
                </w:p>
              </w:tc>
              <w:tc>
                <w:tcPr>
                  <w:tcW w:type="dxa" w:w="2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问题管理</w:t>
                  </w:r>
                </w:p>
              </w:tc>
              <w:tc>
                <w:tcPr>
                  <w:tcW w:type="dxa" w:w="14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重大事项专栏</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271</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年度计划项目问题</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272</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“四个一批”项目问题</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273</w:t>
                  </w:r>
                </w:p>
              </w:tc>
              <w:tc>
                <w:tcPr>
                  <w:tcW w:type="dxa" w:w="345"/>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71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项目问题数据看板</w:t>
                  </w:r>
                </w:p>
              </w:tc>
            </w:tr>
          </w:tbl>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（一）服务内容</w:t>
            </w:r>
          </w:p>
          <w:p>
            <w:pPr>
              <w:pStyle w:val="null3"/>
              <w:jc w:val="left"/>
            </w:pPr>
            <w:r>
              <w:rPr>
                <w:rFonts w:ascii="仿宋_GB2312" w:hAnsi="仿宋_GB2312" w:cs="仿宋_GB2312" w:eastAsia="仿宋_GB2312"/>
              </w:rPr>
              <w:t xml:space="preserve">委托第三方开展陕西项目管理服务数字化平台扩建（重点项目“四个一批”管理系统建设）项目。建设内容涉及陕西项目管理服务数字化平台扩建（重点项目“四个一批”管理系统建设）项目建设和系统对接两方面。主要功能或目标:建设重点项目“四个一批”全生命周期管理系统，实现从项目前期谋划、储备推进到开工建设、竣工投产的全过程动态监测和精细化管理。通过强化要素资源保障、加强项目调度、完善督导考核、实现问题闭环解决，提高项目管理向数字化、智能化水平，推动重点项目建设提速增效，为全省经济社会高质量发展提供坚实支撑。  </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（二）服务要求</w:t>
            </w:r>
          </w:p>
          <w:p>
            <w:pPr>
              <w:pStyle w:val="null3"/>
              <w:jc w:val="left"/>
            </w:pPr>
            <w:r>
              <w:rPr>
                <w:rFonts w:ascii="仿宋_GB2312" w:hAnsi="仿宋_GB2312" w:cs="仿宋_GB2312" w:eastAsia="仿宋_GB2312"/>
              </w:rPr>
              <w:t>1.陕西项目管理服务数字化平台扩建（重点项目“四个一批”管理系统建设）项目建设。建设“谋划一批、储备一批、开工一批、投产一批”项目管理、年度建设项目管理、五年规划重大项目管理、招商引资签约项目管理、要素保障管理、项目考核评价等模块，实现项目调度、项目档案、项目地图、指挥中心（数据智屏）、数据统计分析、进展跟踪、领导批示反馈、问题协调等功能，提升项目服务管理的精准性、及时性和有效性。2.系统对接。与陕西省投资项目在线审批监管平台、与地市7家系统完成对接；具备标准化接口，能够支撑其他应用对接。</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（三）说明、交付物与期限</w:t>
            </w:r>
          </w:p>
          <w:p>
            <w:pPr>
              <w:pStyle w:val="null3"/>
              <w:jc w:val="left"/>
            </w:pPr>
            <w:r>
              <w:rPr>
                <w:rFonts w:ascii="仿宋_GB2312" w:hAnsi="仿宋_GB2312" w:cs="仿宋_GB2312" w:eastAsia="仿宋_GB2312"/>
              </w:rPr>
              <w:t>合同签订后9个月内。</w:t>
            </w:r>
          </w:p>
        </w:tc>
      </w:tr>
      <w:tr>
        <w:tc>
          <w:tcPr>
            <w:tcW w:type="dxa" w:w="2769"/>
          </w:tcPr>
          <w:p>
            <w:pPr>
              <w:pStyle w:val="null3"/>
            </w:pPr>
            <w:r>
              <w:rPr>
                <w:rFonts w:ascii="仿宋_GB2312" w:hAnsi="仿宋_GB2312" w:cs="仿宋_GB2312" w:eastAsia="仿宋_GB2312"/>
              </w:rPr>
              <w:t>17</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（四）服务人员要求</w:t>
            </w:r>
          </w:p>
          <w:p>
            <w:pPr>
              <w:pStyle w:val="null3"/>
              <w:jc w:val="left"/>
            </w:pPr>
            <w:r>
              <w:rPr>
                <w:rFonts w:ascii="仿宋_GB2312" w:hAnsi="仿宋_GB2312" w:cs="仿宋_GB2312" w:eastAsia="仿宋_GB2312"/>
              </w:rPr>
              <w:t>1、供应商须承诺：为本项目配备的服务人员总数最低不少于12人（含1名项目经理）。拟任项目经理不得同时兼任其他项目的管理岗位，且不得随意更换，如需更换则需经过采购人同意。</w:t>
            </w:r>
          </w:p>
          <w:p>
            <w:pPr>
              <w:pStyle w:val="null3"/>
              <w:jc w:val="left"/>
            </w:pPr>
            <w:r>
              <w:rPr>
                <w:rFonts w:ascii="仿宋_GB2312" w:hAnsi="仿宋_GB2312" w:cs="仿宋_GB2312" w:eastAsia="仿宋_GB2312"/>
              </w:rPr>
              <w:t>2.人员构成：</w:t>
            </w:r>
          </w:p>
          <w:p>
            <w:pPr>
              <w:pStyle w:val="null3"/>
              <w:jc w:val="left"/>
            </w:pPr>
            <w:r>
              <w:rPr>
                <w:rFonts w:ascii="仿宋_GB2312" w:hAnsi="仿宋_GB2312" w:cs="仿宋_GB2312" w:eastAsia="仿宋_GB2312"/>
              </w:rPr>
              <w:t>a、项目经理（1人）：具有本科及以上学历；具有类似项目工作经验，具有信息系统项目管理师证书。</w:t>
            </w:r>
          </w:p>
          <w:p>
            <w:pPr>
              <w:pStyle w:val="null3"/>
              <w:jc w:val="left"/>
            </w:pPr>
            <w:r>
              <w:rPr>
                <w:rFonts w:ascii="仿宋_GB2312" w:hAnsi="仿宋_GB2312" w:cs="仿宋_GB2312" w:eastAsia="仿宋_GB2312"/>
              </w:rPr>
              <w:t xml:space="preserve">b、其他成员（至少11人）：投标人拟安排的项目团队主要成员具有高级信息系统项目管理师证书、PMP项目管理专业人员证书、系统架构设计师证书、中级及以上网络工程师证书、注册信息安全人员（CISP）。（须提供证书复印件或扫描件；同一人的多份证书只计一份；提供持证人员在投标单位的近3个月社保缴纳记录，在资格证明部分提供了上述人员社保的不需再次提供；材料提供不齐全或不提供不得分。）项目团队人数应满足本项目的要求，搭配合理，分工明确，便于本项目所有服务内容的有效开展。    </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（五）项目时间</w:t>
            </w:r>
          </w:p>
          <w:p>
            <w:pPr>
              <w:pStyle w:val="null3"/>
              <w:jc w:val="left"/>
            </w:pPr>
            <w:r>
              <w:rPr>
                <w:rFonts w:ascii="仿宋_GB2312" w:hAnsi="仿宋_GB2312" w:cs="仿宋_GB2312" w:eastAsia="仿宋_GB2312"/>
              </w:rPr>
              <w:t>合同签订后9个月内。</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（六）执行标准</w:t>
            </w:r>
          </w:p>
          <w:p>
            <w:pPr>
              <w:pStyle w:val="null3"/>
              <w:jc w:val="left"/>
            </w:pPr>
            <w:r>
              <w:rPr>
                <w:rFonts w:ascii="仿宋_GB2312" w:hAnsi="仿宋_GB2312" w:cs="仿宋_GB2312" w:eastAsia="仿宋_GB2312"/>
              </w:rPr>
              <w:t>按照国家及行业最新标准执行。</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ind w:firstLine="880"/>
            </w:pPr>
            <w:r>
              <w:rPr>
                <w:rFonts w:ascii="仿宋_GB2312" w:hAnsi="仿宋_GB2312" w:cs="仿宋_GB2312" w:eastAsia="仿宋_GB2312"/>
              </w:rPr>
              <w:t>投标人应独立编制投标文件，针对招标文件要求作出实质性响应，禁止将招标文件内容直接、大量抄写作为投标核心应答。</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项目服务要求配置人员，确保项目顺利实施。</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按项目服务要求配置设备，确保项目顺利实施。</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合同签订后9个月内。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按陕政数据〔2023〕6号文关于印发省级政务信息化项目竣工验收管理办法（试行）的要求执行。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签订合同后支付建设费用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初验后支付建设费用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终验后支付建设费用</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项目竣工验收后支付</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按《民法典》中的相关条款和本合同的约定执行。 未按合同或招标文件要求提供产品或供应的产品质量不能满足招标人技术要求，招标人有权终止合同，甚至对投标人违约行为进行追究。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六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提供递交投标文件截止之日前六个月内任意一个月的社会保障资金缴存单据或社保机构开具的社会保险参保缴费情况证明。依法不需要缴纳社会保障资金的供应商应提供相关文件证明。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六个月内任意一个月的依法缴纳税收的相关凭据（时间以税款所属日期为准、税种须同时包含增值税和企业所得税），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及近三个月社保参保证明（附在资格证明文件中）；法定代表人授权他人参加投标的，须提供法定代表人授权委托书及被授权人近三个月社保参保证明（按格式填写，提供原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联合要求</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投标人名称和公章、营业执照一致。</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只能有一个有效报价，不得提交选择性报价，报价不超过采购预算金额或最高限价或评标委员会认为低于成本价的报价。</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投标文件的签字盖章合格有效。</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完全理解并接受服务要求，响应并满足招标文件第三章的要求。</w:t>
            </w:r>
          </w:p>
        </w:tc>
        <w:tc>
          <w:tcPr>
            <w:tcW w:type="dxa" w:w="1661"/>
          </w:tcPr>
          <w:p>
            <w:pPr>
              <w:pStyle w:val="null3"/>
            </w:pPr>
            <w:r>
              <w:rPr>
                <w:rFonts w:ascii="仿宋_GB2312" w:hAnsi="仿宋_GB2312" w:cs="仿宋_GB2312" w:eastAsia="仿宋_GB2312"/>
              </w:rPr>
              <w:t>服务内容及服务邀请应答表 商务应答表 服务方案</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投标人需具备信息系统服务及软件开发能力，具有有效期内的信息系统建设和服务能力评估体系二级及以上、软件能力成熟度模型CMMI（3级）及以上证书，提供证书1分，不提供得0分。 注：投标人须提供项目公告发布之日前取得的证书复印件或扫描件，否则不予计分。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自2022年9月1日至今完成的与本项目采购需求同类的业绩（须提供与用户签订的合同首页、总价所在页、服务内容所在页、签字盖章页等关键页扫描件，无法认定为同类型的合同将不予认定、无法识别签署时间则不予认定）。每提供1个业绩得2分，满分10分。（同一业主的多个合同按一个计算，提供项目中标通知书或合同复印件，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有信息系统项目管理师证书，得2分；拟派项目负责人承担过本项目采购需求同类的业绩（须提供与用户签订的合同首页、服务内容所在页、签字盖章页等关键页扫描件，无法认定为同类型的合同将不予认定）。每提供1个业绩得1.5分，满分3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根据本项目采购需求提供重难点分析。 10分：需求理解透彻，精准抓本质；重难点全覆盖、分析准；措施可行能落地；完全保障项目目标实现。 8分：需求理解准确，仅非关键细节微偏差；核心重难点识别准，次要难点挖掘稍浅；措施整体可行，微调即适配；有效支撑项目目标，风险可控。 6分：需求理解不足，关键细节有遗漏；重难点识别全但分析笼统；措施方向对，需优化才适配；仅满足最低需求，存潜在风险。 4分：需求理解片面，核心诉求偏差大；重难点识别不全、偏离实际；措施无针对性，难支撑推进；不符核心需求，存显著风险。 2分：需求理解严重错，重难点分析无关，措施无意义；完全无法满足需求，致目标停滞。 0分：未提供任何相关内容，无法支撑项目。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1、项目现状与需求分析（5 分） 对陕西省项目管理服务数字化现状分析全面准确，深刻理解 "四个一批" 管理的业务痛点与数字化需求，能结合全省重点项目管理实际提出针对性问题的，得 5 分； 现状分析基本到位，对核心需求理解清晰但缺乏深度，得 3-4 分； 现状分析简略，需求理解存在一定偏差，得 1-2 分； 未体现现状分析，需求理解严重偏离的，得 0 分。 2、整体建设方案与架构设计（5 分） 整体建设方案科学合理，完全契合项目全生命周期管理目标；提供清晰规范的系统架构图（需包含业务架构、技术架构、数据架构），架构设计体现数字化、智能化特点，各层级关系清晰，得 5 分； 整体方案基本可行，核心架构合理；提供了系统架构图但完整性不足（缺少 1 种架构），得 3-4 分； 方案可行性一般，对项目目标支撑有限；架构图简略或逻辑不清晰，得 1-2 分； 无整体建设方案或架构图，得 0 分。 3、模块功能与流程设计（5 分） 对 "四个一批" 管理、年度项目管理、要素保障等模块功能描述完整准确，各项功能流程设计符合业务逻辑，体现精细化管理和闭环管理要求的，得 5 分； 模块功能描述基本完整，核心流程设计合理但细节不够完善，得 3-4 分； 模块功能描述不完整，部分流程设计与需求不符，得 1-2 分； 未体现模块功能与流程设计，得 0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针对本项目提出适用于本项目的实施方案，包括：①项目开发实施部署；②对接方案；③试运行方案；④验收方案。 二、评审标准 1、完整性：方案必须全面，对评审内容中的各项要求有详细描述； 2、可实施性：切合本项目实际情况，提出步骤清晰、合理的方案； 3、针对性：方案能够紧扣项目实际情况，内容科学合理。 三、赋分标准（满分18分） ①项目开发实施部署：每完全满足一个评审标准得1.5分，满分4.5分； ②对接方案：每完全满足一个评审标准得1.5分，满分4.5分； ③试运行方案：每完全满足一个评审标准得1.5分，满分4.5分； ④验收方案：每完全满足一个评审标准得1.5分，满分4.5分。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拟派团队情况</w:t>
            </w:r>
          </w:p>
        </w:tc>
        <w:tc>
          <w:tcPr>
            <w:tcW w:type="dxa" w:w="2492"/>
          </w:tcPr>
          <w:p>
            <w:pPr>
              <w:pStyle w:val="null3"/>
            </w:pPr>
            <w:r>
              <w:rPr>
                <w:rFonts w:ascii="仿宋_GB2312" w:hAnsi="仿宋_GB2312" w:cs="仿宋_GB2312" w:eastAsia="仿宋_GB2312"/>
              </w:rPr>
              <w:t>评审内容 针对本项目提出适用于本项目的人员配备方案，包括：①人员机构设置；②职责分工；③信息处理流程。 评审标准 1、完整性：方案必须全面，对评审内容中的各项要求有详细描述； 2、可实施性：切合本项目实际情况，提出步骤清晰、合理的方案； 3、针对性：方案能够紧扣项目实际情况，内容科学合理。 赋分标准（满分6分） ①人员机构设置：每完全满足一个评审标准得0.5分，满分1.5分； ②职责分工：每完全满足一个评审标准得0.5分，满分1.5分； ③信息处理流程：每完全满足一个评审标准得0.5分，满分1.5分。 ④投标人拟安排的项目团队主要成员（除项目经理外至少同时配备高级信息系统项目管理师证书、PMP项目管理专业人员证书、系统架构设计师证书、中级及以上网络工程师证书、注册信息安全人员（CISP），全部提供不得分，每增加一名上述持证人员加0.5分，满分1.5分。（须提供证书复印件或扫描件；同一人的多份证书只计一份；提供持证人员在投标单位的近3个月社保缴纳记录，在资格证明部分提供了上述人员社保的不需再次提供；材料提供不齐全或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根据本项目采购需求制定售后服务方案。 10分：设计高度契合需求，能预判各类售后问题；内容详实覆盖全模块，含数据支撑；措施完善有应急及增值服务；可操作性强，可直接落地。 8分：设计符合需求，覆盖常见售后场景；内容详实含核心模块，细节略有欠缺；常规措施齐全，应急与增值服务待完善；可操作性较强，个别环节需优化。 6分：设计基本合理，匹配度一般，特殊场景考虑不足；内容含关键模块但笼统，缺数据与细节；常规措施有缺失，应急流程不细化；可操作性一般，需调整才能落地。 3分：设计合理性不足，匹配度低，未充分考虑需求；内容简略仅提少数模块，关键信息缺失；措施缺失多，无有效应急方案；可操作性差，需大量补充调整。 0分：未提供方案，或内容与需求无关，无售后核心要素，无法指导工作。</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根据本项目采购需求制定培训方案。 5分：培训方案内容详实且系统全面，逻辑严谨；计划安排科学合理，细节完备，时间与资源分配精准；与项目需求高度契合，能深度匹配核心目标；可实施性极强，具备成熟的落地保障措施。 4分：培训方案内容完整，框架清晰；计划安排较为科学，流程顺畅，时间与资源分配合理；与项目需求契合度较高，能覆盖主要目标；可实施性较强，落地条件基本成熟。 3分：培训方案内容基本完整，核心要素无缺失；计划安排基本合理，流程无明显漏洞；与项目需求较为匹配，能满足基础目标；具备一定可操作性，需小幅调整即可推进。 2分：培训方案内容较为简略，核心要素不够完善；计划安排合理性一般，存在流程衔接或资源分配问题；与项目需求契合度不高，部分内容偏离目标；可实施性较弱，需较大调整才能推进。 1分：培训方案内容零散残缺，缺乏核心框架；计划安排混乱，无明确逻辑与合理规划；与项目需求严重脱节，无法支撑目标实现；基本不具备可实施性。 0分：未提供培训方案。</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根据本项目特点，制订系统化保密管理方案，内容包括但不限于人员管理与系统安全等方面。 5分：贴合项目特点，体系完整逻辑严，覆盖全维度；措施详实具体，可直接落地，风险防控力强。 4分：符合项目特点，体系较完整；措施充实，可行性强，能满足日常需求。 3分：基本匹配项目，体系框架成型；措施较全面，机制略有瑕疵，可应对常规场景。 2分：契合度一般，体系不完整，关键内容有缺失；措施简单，可操作性弱，仅满足基础要求。 1分：与项目脱节，体系混乱，措施笼统，无操作性。 0 分：未提供任何保密措施。</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根据本项目特点，制订应急预案。 5分：应急预案内容全面且详实，完整覆盖项目全流程潜在风险，无遗漏或盲区；应对措施设计科学严谨、逻辑清晰，与项目实际应用场景高度契合，具备极强的可操作性，可直接指导现场应急处置工作。 4分：应急预案内容较为全面，核心风险均已覆盖，仅在个别次要风险点存在不足；措施设计合理可行，与实际场景匹配度较高，具备较强的可操作性，虽在细节优化或流程衔接上有提升空间，但不影响整体应急响应效果。 3分：应急预案内容基本完整，包含主要风险类别及对应应对措施，合理性和可操作性尚可；但在系统性统筹、细节打磨上存在明显不足，需进一步完善才能更好适配实际需求。 2分：应急预案内容简略，仅罗列部分核心风险，覆盖范围较窄；应对措施表述笼统，缺乏具体实施路径和针对性，与项目实际场景匹配度低，可操作性较弱，难以有效支撑应急处置工作。 1分：未提供完整应急预案内容，或仅存在碎片化、概念性描述，无明确风险识别和具体应对措施，完全不具备实际应用价值。 0分：未提供任何应急预案。</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的投标人的报价为评标基准价，其价格分为满分。其他投标人的价格分统一按照下列公式计算：报价得分=（评标基准价/投标报价）×10。说明：最低报价不是中标的唯一依据。此处投标报价指经过报价修正，及因落实政府采购政策进行价格调整后的报价。报价不完整的，不进入评标基准价的计算，本项得0分。经评审小组一致认定，投标人的总报价低于公认市场成本，或超过采购预算,其响应将被拒绝。</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